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sz w:val="36"/>
        </w:rPr>
      </w:pPr>
      <w:r>
        <w:rPr>
          <w:rFonts w:hint="eastAsia" w:ascii="宋体" w:hAnsi="宋体"/>
          <w:sz w:val="36"/>
        </w:rPr>
      </w:r>
      <w:r/>
    </w:p>
    <w:p>
      <w:pPr>
        <w:jc w:val="right"/>
        <w:spacing w:line="360" w:lineRule="auto"/>
        <w:rPr>
          <w:rFonts w:hint="eastAsia" w:ascii="宋体" w:hAnsi="宋体"/>
          <w:sz w:val="36"/>
        </w:rPr>
      </w:pPr>
      <w:r>
        <w:rPr>
          <w:rFonts w:hint="eastAsia" w:ascii="宋体" w:hAnsi="宋体"/>
          <w:sz w:val="36"/>
        </w:rPr>
        <w:t xml:space="preserve">编号：JSZC-321000-HCZX-G2025-0111</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hint="eastAsia" w:ascii="宋体" w:hAnsi="宋体"/>
          <w:sz w:val="36"/>
        </w:rPr>
        <w:t xml:space="preserve">扬州市公安局警务信息化系统硬件维保项目 </w:t>
      </w:r>
      <w:r/>
    </w:p>
    <w:p>
      <w:pPr>
        <w:jc w:val="center"/>
        <w:spacing w:line="360" w:lineRule="auto"/>
        <w:rPr>
          <w:rFonts w:hint="eastAsia" w:ascii="宋体" w:hAnsi="宋体"/>
          <w:sz w:val="36"/>
        </w:rPr>
      </w:pPr>
      <w:r>
        <w:rPr>
          <w:rFonts w:hint="eastAsia" w:ascii="宋体" w:hAnsi="宋体"/>
          <w:sz w:val="36"/>
        </w:rPr>
        <w:t xml:space="preserve">公开招标文件</w: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571490" cy="3817620"/>
                <wp:effectExtent l="0" t="0" r="3810" b="508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180905155510"/>
                        <pic:cNvPicPr>
                          <a:picLocks noChangeAspect="1"/>
                        </pic:cNvPicPr>
                        <pic:nvPr/>
                      </pic:nvPicPr>
                      <pic:blipFill>
                        <a:blip r:embed="rId12"/>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7pt;height:300.6pt;mso-wrap-distance-left:0.0pt;mso-wrap-distance-top:0.0pt;mso-wrap-distance-right:0.0pt;mso-wrap-distance-bottom:0.0pt;" stroked="f">
                <v:path textboxrect="0,0,0,0"/>
                <v:imagedata r:id="rId12" o:title=""/>
              </v:shape>
            </w:pict>
          </mc:Fallback>
        </mc:AlternateContent>
      </w:r>
      <w:r/>
    </w:p>
    <w:p>
      <w:pPr>
        <w:pStyle w:val="721"/>
        <w:spacing w:line="360" w:lineRule="auto"/>
      </w:pPr>
      <w:r/>
      <w:r/>
    </w:p>
    <w:p>
      <w:r/>
      <w:r/>
    </w:p>
    <w:p>
      <w:pPr>
        <w:pStyle w:val="737"/>
      </w:pPr>
      <w:r/>
      <w:r/>
    </w:p>
    <w:p>
      <w:pPr>
        <w:jc w:val="center"/>
        <w:spacing w:line="360" w:lineRule="auto"/>
        <w:rPr>
          <w:rFonts w:hint="eastAsia" w:ascii="宋体" w:hAnsi="宋体"/>
          <w:sz w:val="36"/>
        </w:rPr>
      </w:pPr>
      <w:r>
        <w:rPr>
          <w:rFonts w:hint="eastAsia" w:ascii="宋体" w:hAnsi="宋体"/>
          <w:sz w:val="36"/>
        </w:rPr>
        <w:t xml:space="preserve">江苏汇诚投资咨询管理有限公司</w:t>
      </w:r>
      <w:r/>
    </w:p>
    <w:p>
      <w:pPr>
        <w:jc w:val="center"/>
        <w:spacing w:line="360" w:lineRule="auto"/>
        <w:rPr>
          <w:rFonts w:hint="eastAsia" w:ascii="宋体" w:hAnsi="宋体"/>
          <w:sz w:val="36"/>
        </w:rPr>
      </w:pPr>
      <w:r>
        <w:rPr>
          <w:rFonts w:hint="eastAsia" w:ascii="宋体" w:hAnsi="宋体"/>
          <w:sz w:val="36"/>
        </w:rPr>
        <w:t xml:space="preserve">2025年12月</w:t>
      </w:r>
      <w:r>
        <w:rPr>
          <w:rFonts w:hint="eastAsia" w:ascii="宋体" w:hAnsi="宋体"/>
          <w:sz w:val="36"/>
          <w:lang w:val="en-US" w:eastAsia="zh-CN"/>
        </w:rPr>
        <w:t xml:space="preserve">29</w:t>
      </w:r>
      <w:r>
        <w:rPr>
          <w:rFonts w:hint="eastAsia" w:ascii="宋体" w:hAnsi="宋体"/>
          <w:sz w:val="36"/>
        </w:rPr>
        <w:t xml:space="preserve">日</w:t>
      </w:r>
      <w:r/>
    </w:p>
    <w:p>
      <w:pPr>
        <w:spacing w:line="360" w:lineRule="auto"/>
      </w:pPr>
      <w:r>
        <w:br w:type="page" w:clear="all"/>
      </w:r>
      <w:r/>
    </w:p>
    <w:p>
      <w:pPr>
        <w:jc w:val="center"/>
        <w:spacing w:line="360" w:lineRule="auto"/>
        <w:rPr>
          <w:rFonts w:hint="eastAsia" w:ascii="宋体" w:hAnsi="宋体"/>
          <w:sz w:val="32"/>
        </w:rPr>
      </w:pPr>
      <w:r>
        <w:rPr>
          <w:rFonts w:hint="eastAsia" w:ascii="宋体" w:hAnsi="宋体"/>
          <w:sz w:val="32"/>
        </w:rPr>
        <w:t xml:space="preserve">目 录</w:t>
      </w:r>
      <w:r/>
    </w:p>
    <w:p>
      <w:pPr>
        <w:pStyle w:val="747"/>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招标公告</w:t>
      </w:r>
      <w:r>
        <w:tab/>
      </w:r>
      <w:r>
        <w:fldChar w:fldCharType="begin"/>
      </w:r>
      <w:r>
        <w:instrText xml:space="preserve"> PAGEREF _Toc191970189 \h </w:instrText>
      </w:r>
      <w:r>
        <w:fldChar w:fldCharType="separate"/>
      </w:r>
      <w:r>
        <w:t xml:space="preserve">3</w:t>
      </w:r>
      <w:r>
        <w:fldChar w:fldCharType="end"/>
      </w:r>
      <w:r/>
    </w:p>
    <w:p>
      <w:pPr>
        <w:pStyle w:val="747"/>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47"/>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1</w:t>
      </w:r>
      <w:r>
        <w:rPr>
          <w:rFonts w:hint="eastAsia"/>
        </w:rPr>
        <w:t xml:space="preserve">8</w:t>
      </w:r>
      <w:r>
        <w:fldChar w:fldCharType="end"/>
      </w:r>
      <w:r/>
    </w:p>
    <w:p>
      <w:pPr>
        <w:pStyle w:val="747"/>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w:t>
      </w:r>
      <w:r>
        <w:rPr>
          <w:rFonts w:hint="eastAsia"/>
        </w:rPr>
        <w:t xml:space="preserve">3</w:t>
      </w:r>
      <w:r>
        <w:fldChar w:fldCharType="end"/>
      </w:r>
      <w:r/>
    </w:p>
    <w:p>
      <w:pPr>
        <w:pStyle w:val="747"/>
        <w:tabs>
          <w:tab w:val="right" w:pos="8296" w:leader="dot"/>
        </w:tabs>
        <w:rPr>
          <w:rFonts w:asciiTheme="minorHAnsi" w:hAnsiTheme="minorHAnsi"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31</w:t>
      </w:r>
      <w:r/>
    </w:p>
    <w:p>
      <w:pPr>
        <w:pStyle w:val="747"/>
        <w:tabs>
          <w:tab w:val="right" w:pos="8296" w:leader="dot"/>
        </w:tabs>
        <w:rPr>
          <w:rFonts w:asciiTheme="minorHAnsi" w:hAnsiTheme="minorHAnsi"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35</w:t>
      </w:r>
      <w:r/>
    </w:p>
    <w:p>
      <w:pPr>
        <w:spacing w:line="360" w:lineRule="auto"/>
        <w:rPr>
          <w:rFonts w:hint="eastAsia"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19"/>
        <w:jc w:val="center"/>
        <w:spacing w:line="360" w:lineRule="auto"/>
        <w:rPr>
          <w:rFonts w:hint="eastAsia" w:ascii="宋体" w:hAnsi="宋体"/>
          <w:szCs w:val="36"/>
        </w:rPr>
      </w:pPr>
      <w:r/>
      <w:bookmarkStart w:id="0" w:name="_Toc55204177"/>
      <w:r/>
      <w:bookmarkStart w:id="1" w:name="_Toc191970189"/>
      <w:r>
        <w:rPr>
          <w:rFonts w:hint="eastAsia" w:ascii="宋体" w:hAnsi="宋体"/>
          <w:szCs w:val="36"/>
        </w:rPr>
        <w:t xml:space="preserve">第一章 招标公告</w:t>
      </w:r>
      <w:bookmarkEnd w:id="0"/>
      <w:r/>
      <w:bookmarkEnd w:id="1"/>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受扬州市公安局的委托，江苏汇诚投资咨询管理有限公司就扬州市公安局警务信息化系统硬件维保项目进行公开招标采购，欢迎符合条件的供应商投标。</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扬州市公安局警务信息化系统硬件维保    </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w:t>
      </w:r>
      <w:r>
        <w:rPr>
          <w:rFonts w:hint="eastAsia" w:ascii="宋体" w:hAnsi="宋体" w:cs="宋体"/>
          <w:u w:val="single"/>
          <w:lang w:val="en-US" w:eastAsia="zh-CN"/>
        </w:rPr>
        <w:t xml:space="preserve"> </w:t>
      </w:r>
      <w:r>
        <w:rPr>
          <w:rFonts w:hint="eastAsia" w:ascii="宋体" w:hAnsi="宋体" w:cs="宋体"/>
          <w:u w:val="single"/>
        </w:rPr>
        <w:t xml:space="preserve">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1月</w:t>
      </w:r>
      <w:r>
        <w:rPr>
          <w:rFonts w:hint="eastAsia" w:ascii="宋体" w:hAnsi="宋体" w:cs="宋体"/>
          <w:bCs/>
          <w:u w:val="single"/>
          <w:lang w:val="en-US" w:eastAsia="zh-CN"/>
        </w:rPr>
        <w:t xml:space="preserve">20</w:t>
      </w:r>
      <w:r>
        <w:rPr>
          <w:rFonts w:hint="eastAsia" w:ascii="宋体" w:hAnsi="宋体" w:cs="宋体"/>
          <w:bCs/>
          <w:u w:val="single"/>
        </w:rPr>
        <w:t xml:space="preserve">日</w:t>
      </w:r>
      <w:r>
        <w:rPr>
          <w:rFonts w:hint="eastAsia" w:ascii="宋体" w:hAnsi="宋体" w:cs="宋体"/>
          <w:bCs/>
          <w:u w:val="single"/>
          <w:lang w:val="en-US" w:eastAsia="zh-CN"/>
        </w:rPr>
        <w:t xml:space="preserve">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2" w:name="_Toc28359079"/>
      <w:r/>
      <w:bookmarkStart w:id="3" w:name="_Toc35393621"/>
      <w:r/>
      <w:bookmarkStart w:id="4" w:name="_Toc28359002"/>
      <w:r/>
      <w:bookmarkStart w:id="5" w:name="_Toc35393790"/>
      <w:r/>
      <w:bookmarkStart w:id="6" w:name="_Toc38985263"/>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rPr>
        <w:t xml:space="preserve">1.项目编号：JSZC-321000-HCZX-G2025-0111</w:t>
      </w:r>
      <w:r/>
    </w:p>
    <w:p>
      <w:pPr>
        <w:ind w:firstLine="420"/>
        <w:spacing w:line="360" w:lineRule="auto"/>
        <w:rPr>
          <w:rFonts w:hint="eastAsia" w:ascii="宋体" w:hAnsi="宋体" w:cs="宋体"/>
        </w:rPr>
      </w:pPr>
      <w:r>
        <w:rPr>
          <w:rFonts w:hint="eastAsia" w:ascii="宋体" w:hAnsi="宋体" w:cs="宋体"/>
        </w:rPr>
        <w:t xml:space="preserve">2.项目名称：</w:t>
      </w:r>
      <w:bookmarkEnd w:id="7"/>
      <w:r>
        <w:rPr>
          <w:rFonts w:hint="eastAsia" w:ascii="宋体" w:hAnsi="宋体" w:cs="宋体"/>
        </w:rPr>
        <w:t xml:space="preserve">扬州市公安局警务信息化系统硬件维保</w:t>
      </w:r>
      <w:r/>
    </w:p>
    <w:p>
      <w:pPr>
        <w:ind w:firstLine="420"/>
        <w:spacing w:line="360" w:lineRule="auto"/>
        <w:rPr>
          <w:rFonts w:hint="eastAsia" w:ascii="宋体" w:hAnsi="宋体" w:cs="宋体"/>
        </w:rPr>
      </w:pPr>
      <w:r>
        <w:rPr>
          <w:rFonts w:hint="eastAsia" w:ascii="宋体" w:hAnsi="宋体" w:cs="宋体"/>
        </w:rPr>
        <w:t xml:space="preserve">3.预算金额：146.63万元</w:t>
      </w:r>
      <w:r/>
    </w:p>
    <w:p>
      <w:pPr>
        <w:ind w:firstLine="420"/>
        <w:spacing w:line="360" w:lineRule="auto"/>
        <w:rPr>
          <w:rFonts w:hint="eastAsia" w:ascii="宋体" w:hAnsi="宋体" w:cs="宋体"/>
        </w:rPr>
      </w:pPr>
      <w:r>
        <w:rPr>
          <w:rFonts w:hint="eastAsia" w:ascii="宋体" w:hAnsi="宋体" w:cs="宋体"/>
        </w:rPr>
        <w:t xml:space="preserve">4.本项目设置最高限价，最高限价为146.63万元。</w:t>
      </w:r>
      <w:r/>
    </w:p>
    <w:p>
      <w:pPr>
        <w:ind w:firstLine="420"/>
        <w:spacing w:line="360" w:lineRule="auto"/>
        <w:rPr>
          <w:rFonts w:hint="eastAsia"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hint="eastAsia" w:ascii="宋体" w:hAnsi="宋体" w:cs="宋体"/>
        </w:rPr>
      </w:pPr>
      <w:r>
        <w:rPr>
          <w:rFonts w:hint="eastAsia" w:ascii="宋体" w:hAnsi="宋体" w:cs="宋体"/>
        </w:rPr>
        <w:t xml:space="preserve">6.合同履行期限：</w:t>
      </w:r>
      <w:r>
        <w:rPr>
          <w:rFonts w:hint="eastAsia" w:ascii="宋体" w:hAnsi="宋体" w:cs="宋体"/>
          <w:spacing w:val="3"/>
          <w:szCs w:val="21"/>
        </w:rPr>
        <w:t xml:space="preserve">一年</w:t>
      </w:r>
      <w:r/>
    </w:p>
    <w:p>
      <w:pPr>
        <w:ind w:firstLine="420"/>
        <w:spacing w:line="360" w:lineRule="auto"/>
        <w:rPr>
          <w:rFonts w:hint="eastAsia" w:ascii="宋体" w:hAnsi="宋体" w:cs="宋体"/>
        </w:rPr>
      </w:pPr>
      <w:r/>
      <w:bookmarkStart w:id="8" w:name="_Toc38985264"/>
      <w:r/>
      <w:bookmarkStart w:id="9" w:name="_Toc28359003"/>
      <w:r/>
      <w:bookmarkStart w:id="10" w:name="_Toc35393622"/>
      <w:r/>
      <w:bookmarkStart w:id="11" w:name="_Toc28359080"/>
      <w:r/>
      <w:bookmarkStart w:id="12" w:name="_Toc35393791"/>
      <w:r>
        <w:rPr>
          <w:rFonts w:hint="eastAsia" w:ascii="宋体" w:hAnsi="宋体" w:cs="宋体"/>
        </w:rPr>
        <w:t xml:space="preserve">7.本项目不接受联合体投标。</w:t>
      </w:r>
      <w:r/>
    </w:p>
    <w:p>
      <w:pPr>
        <w:ind w:firstLine="420"/>
        <w:spacing w:line="360" w:lineRule="auto"/>
        <w:rPr>
          <w:rFonts w:hint="eastAsia" w:ascii="宋体" w:hAnsi="宋体" w:cs="宋体"/>
          <w:b/>
        </w:rPr>
      </w:pPr>
      <w:r>
        <w:rPr>
          <w:rFonts w:hint="eastAsia" w:ascii="宋体" w:hAnsi="宋体" w:cs="宋体"/>
          <w:b/>
        </w:rPr>
        <w:t xml:space="preserve">8.本项目不接受进口产品投标。</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szCs w:val="21"/>
        </w:rPr>
      </w:pPr>
      <w:r/>
      <w:bookmarkStart w:id="13" w:name="_Toc28359081"/>
      <w:r/>
      <w:bookmarkStart w:id="14" w:name="_Toc35393623"/>
      <w:r/>
      <w:bookmarkStart w:id="15" w:name="_Toc38985265"/>
      <w:r/>
      <w:bookmarkStart w:id="16" w:name="_Toc28359004"/>
      <w:r/>
      <w:bookmarkStart w:id="17"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1.3 上一年度的财务状况报告（成立不满一年无需提供）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1.7供应商信用承诺函</w:t>
      </w:r>
      <w:r/>
    </w:p>
    <w:p>
      <w:pPr>
        <w:ind w:firstLine="420"/>
        <w:spacing w:line="44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无</w:t>
      </w:r>
      <w:r/>
    </w:p>
    <w:p>
      <w:pPr>
        <w:ind w:firstLine="420"/>
        <w:spacing w:line="440" w:lineRule="exact"/>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i/>
          <w:szCs w:val="21"/>
          <w:u w:val="single"/>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cs="宋体"/>
        </w:rP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hint="eastAsia"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hint="eastAsia"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2026年1月</w:t>
      </w:r>
      <w:r>
        <w:rPr>
          <w:rFonts w:hint="eastAsia" w:ascii="宋体" w:hAnsi="宋体" w:cs="宋体"/>
          <w:bCs/>
          <w:u w:val="single"/>
          <w:lang w:val="en-US" w:eastAsia="zh-CN"/>
        </w:rPr>
        <w:t xml:space="preserve">20</w:t>
      </w:r>
      <w:r>
        <w:rPr>
          <w:rFonts w:hint="eastAsia" w:ascii="宋体" w:hAnsi="宋体" w:cs="宋体"/>
          <w:bCs/>
          <w:u w:val="single"/>
        </w:rPr>
        <w:t xml:space="preserve">日</w:t>
      </w:r>
      <w:r>
        <w:rPr>
          <w:rFonts w:hint="eastAsia" w:ascii="宋体" w:hAnsi="宋体" w:cs="宋体"/>
          <w:bCs/>
          <w:u w:val="single"/>
          <w:lang w:val="en-US" w:eastAsia="zh-CN"/>
        </w:rPr>
        <w:t xml:space="preserve">9</w:t>
      </w:r>
      <w:bookmarkStart w:id="85" w:name="_GoBack"/>
      <w:r/>
      <w:bookmarkEnd w:id="85"/>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hint="eastAsia" w:ascii="宋体" w:hAnsi="宋体" w:cs="宋体"/>
          <w:b/>
          <w:bCs/>
        </w:rPr>
      </w:pPr>
      <w:r/>
      <w:bookmarkStart w:id="23" w:name="_Toc38985267"/>
      <w:r/>
      <w:bookmarkStart w:id="24" w:name="_Toc35393625"/>
      <w:r/>
      <w:bookmarkStart w:id="25" w:name="_Toc28359084"/>
      <w:r/>
      <w:bookmarkStart w:id="26" w:name="_Toc2835900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rPr>
      </w:pPr>
      <w:r/>
      <w:bookmarkStart w:id="28" w:name="_Toc35393795"/>
      <w:r/>
      <w:bookmarkStart w:id="29" w:name="_Toc35393626"/>
      <w:r/>
      <w:bookmarkStart w:id="30" w:name="_Toc38985268"/>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hint="eastAsia" w:ascii="宋体" w:hAnsi="宋体" w:cs="宋体"/>
          <w:szCs w:val="21"/>
        </w:rPr>
      </w:pPr>
      <w:r>
        <w:rPr>
          <w:rFonts w:hint="eastAsia" w:ascii="宋体" w:hAnsi="宋体" w:cs="宋体"/>
        </w:rPr>
        <w:t xml:space="preserve">无</w:t>
      </w:r>
      <w:r/>
    </w:p>
    <w:p>
      <w:pPr>
        <w:spacing w:line="360" w:lineRule="auto"/>
        <w:tabs>
          <w:tab w:val="left" w:pos="266" w:leader="none"/>
        </w:tabs>
        <w:rPr>
          <w:rFonts w:hint="eastAsia" w:ascii="宋体" w:hAnsi="宋体" w:cs="宋体"/>
          <w:b/>
          <w:bCs/>
        </w:rPr>
      </w:pPr>
      <w:r/>
      <w:bookmarkStart w:id="31" w:name="_Toc35393796"/>
      <w:r/>
      <w:bookmarkStart w:id="32" w:name="_Toc28359085"/>
      <w:r/>
      <w:bookmarkStart w:id="33" w:name="_Toc38985269"/>
      <w:r/>
      <w:bookmarkStart w:id="34" w:name="_Toc35393627"/>
      <w:r/>
      <w:bookmarkStart w:id="35" w:name="_Toc28359008"/>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扬州市公安局</w:t>
      </w:r>
      <w:r/>
    </w:p>
    <w:p>
      <w:pPr>
        <w:ind w:firstLine="420"/>
        <w:jc w:val="left"/>
        <w:spacing w:line="360"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扬州市邗江区润扬中路98号</w:t>
      </w:r>
      <w:r/>
    </w:p>
    <w:p>
      <w:pPr>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顾荣顺</w:t>
      </w:r>
      <w:r/>
    </w:p>
    <w:p>
      <w:pPr>
        <w:ind w:firstLine="420"/>
        <w:jc w:val="left"/>
        <w:spacing w:line="360" w:lineRule="auto"/>
        <w:rPr>
          <w:rFonts w:hint="eastAsia" w:ascii="宋体" w:hAnsi="宋体" w:cs="宋体"/>
          <w:u w:val="single"/>
        </w:rPr>
      </w:pPr>
      <w:r>
        <w:rPr>
          <w:rFonts w:hint="eastAsia" w:ascii="宋体" w:hAnsi="宋体" w:cs="宋体"/>
        </w:rPr>
        <w:t xml:space="preserve">联系方式：</w:t>
      </w:r>
      <w:bookmarkStart w:id="36" w:name="_Toc28359009"/>
      <w:r/>
      <w:bookmarkStart w:id="37" w:name="_Toc28359086"/>
      <w:r>
        <w:rPr>
          <w:rFonts w:hint="eastAsia" w:ascii="宋体" w:hAnsi="宋体" w:cs="宋体"/>
          <w:u w:val="single"/>
        </w:rPr>
        <w:t xml:space="preserve">13912134768</w:t>
      </w:r>
      <w:r/>
    </w:p>
    <w:p>
      <w:pPr>
        <w:ind w:firstLine="420"/>
        <w:jc w:val="left"/>
        <w:spacing w:line="360" w:lineRule="auto"/>
        <w:rPr>
          <w:rFonts w:hint="eastAsia"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hint="eastAsia" w:ascii="宋体" w:hAnsi="宋体" w:cs="宋体"/>
        </w:rPr>
      </w:pPr>
      <w:r/>
      <w:bookmarkStart w:id="38" w:name="_Toc28359010"/>
      <w:r/>
      <w:bookmarkStart w:id="39" w:name="_Toc28359087"/>
      <w:r>
        <w:rPr>
          <w:rFonts w:hint="eastAsia" w:ascii="宋体" w:hAnsi="宋体" w:cs="宋体"/>
        </w:rPr>
        <w:t xml:space="preserve">名称：</w:t>
      </w:r>
      <w:r>
        <w:rPr>
          <w:rFonts w:hint="eastAsia" w:ascii="宋体" w:hAnsi="宋体" w:cs="宋体"/>
          <w:u w:val="single"/>
        </w:rPr>
        <w:t xml:space="preserve">江苏汇诚投资咨询管理有限公司</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秦扬</w:t>
      </w:r>
      <w:r/>
    </w:p>
    <w:p>
      <w:pPr>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0514-89787280</w:t>
      </w:r>
      <w:r/>
    </w:p>
    <w:p>
      <w:pPr>
        <w:numPr>
          <w:ilvl w:val="0"/>
          <w:numId w:val="2"/>
        </w:numPr>
        <w:spacing w:line="360" w:lineRule="auto"/>
        <w:tabs>
          <w:tab w:val="left" w:pos="266" w:leader="none"/>
        </w:tabs>
        <w:rPr>
          <w:rFonts w:hint="eastAsia"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
    </w:p>
    <w:p>
      <w:pPr>
        <w:spacing w:line="360" w:lineRule="auto"/>
        <w:rPr>
          <w:rFonts w:hint="eastAsia" w:ascii="宋体" w:hAnsi="宋体" w:cs="宋体"/>
          <w:b/>
          <w:bCs/>
        </w:rPr>
      </w:pPr>
      <w:r>
        <w:rPr>
          <w:rFonts w:hint="eastAsia" w:ascii="宋体" w:hAnsi="宋体" w:cs="宋体"/>
          <w:b/>
          <w:bCs/>
        </w:rPr>
        <w:t xml:space="preserve">九、其他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hint="eastAsia"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Cs/>
        </w:rPr>
      </w:pPr>
      <w:r>
        <w:rPr>
          <w:rFonts w:hint="eastAsia" w:ascii="宋体" w:hAnsi="宋体"/>
        </w:rPr>
        <w:t xml:space="preserve">6.本次招标不收取投标保证金。</w:t>
      </w:r>
      <w:r/>
    </w:p>
    <w:p>
      <w:pPr>
        <w:ind w:firstLine="420"/>
        <w:spacing w:line="360" w:lineRule="auto"/>
        <w:rPr>
          <w:rFonts w:hint="eastAsia"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19"/>
        <w:jc w:val="center"/>
        <w:spacing w:line="360" w:lineRule="auto"/>
        <w:rPr>
          <w:rFonts w:hint="eastAsia" w:ascii="宋体" w:hAnsi="宋体"/>
          <w:szCs w:val="36"/>
        </w:rPr>
      </w:pPr>
      <w:r/>
      <w:bookmarkStart w:id="40" w:name="_Toc191970190"/>
      <w:r/>
      <w:bookmarkStart w:id="41" w:name="_Toc55204178"/>
      <w:r>
        <w:rPr>
          <w:rFonts w:hint="eastAsia" w:ascii="宋体" w:hAnsi="宋体"/>
          <w:szCs w:val="36"/>
        </w:rPr>
        <w:t xml:space="preserve">第二章 投标人须知</w:t>
      </w:r>
      <w:bookmarkEnd w:id="40"/>
      <w:r/>
      <w:bookmarkEnd w:id="41"/>
      <w:r/>
      <w:r/>
    </w:p>
    <w:p>
      <w:pPr>
        <w:ind w:firstLine="422"/>
        <w:spacing w:line="360" w:lineRule="auto"/>
        <w:rPr>
          <w:rFonts w:hint="eastAsia" w:ascii="宋体" w:hAnsi="宋体"/>
          <w:b/>
          <w:szCs w:val="21"/>
        </w:rPr>
      </w:pPr>
      <w:r>
        <w:rPr>
          <w:rFonts w:hint="eastAsia" w:ascii="宋体" w:hAnsi="宋体"/>
          <w:b/>
          <w:szCs w:val="21"/>
        </w:rPr>
        <w:t xml:space="preserve">1、招标方式</w:t>
      </w:r>
      <w:r/>
    </w:p>
    <w:p>
      <w:pPr>
        <w:ind w:firstLine="420"/>
        <w:spacing w:line="360" w:lineRule="auto"/>
        <w:rPr>
          <w:rFonts w:hint="eastAsia" w:ascii="宋体" w:hAnsi="宋体"/>
          <w:bCs/>
          <w:szCs w:val="21"/>
        </w:rPr>
      </w:pPr>
      <w:r>
        <w:rPr>
          <w:rFonts w:hint="eastAsia" w:ascii="宋体" w:hAnsi="宋体"/>
          <w:bCs/>
          <w:szCs w:val="21"/>
        </w:rPr>
        <w:t xml:space="preserve">1.1 本次招标采取公开招标方式，本招标文件仅适用于JSZC-321000-HCZX-G2025-0111号项目。</w:t>
      </w:r>
      <w:r/>
    </w:p>
    <w:p>
      <w:pPr>
        <w:ind w:firstLine="422"/>
        <w:spacing w:line="360" w:lineRule="auto"/>
        <w:rPr>
          <w:rFonts w:hint="eastAsia" w:ascii="宋体" w:hAnsi="宋体"/>
          <w:b/>
          <w:szCs w:val="21"/>
        </w:rPr>
      </w:pPr>
      <w:r>
        <w:rPr>
          <w:rFonts w:hint="eastAsia" w:ascii="宋体" w:hAnsi="宋体"/>
          <w:b/>
          <w:szCs w:val="21"/>
        </w:rPr>
        <w:t xml:space="preserve">2、投标人</w:t>
      </w:r>
      <w:r/>
    </w:p>
    <w:p>
      <w:pPr>
        <w:ind w:firstLine="420"/>
        <w:spacing w:line="360" w:lineRule="auto"/>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bCs/>
          <w:szCs w:val="21"/>
        </w:rPr>
      </w:pPr>
      <w:r>
        <w:rPr>
          <w:rFonts w:hint="eastAsia" w:ascii="宋体" w:hAnsi="宋体"/>
          <w:bCs/>
          <w:szCs w:val="21"/>
        </w:rPr>
        <w:t xml:space="preserve">2.2合格的投标人</w:t>
      </w:r>
      <w:r/>
    </w:p>
    <w:p>
      <w:pPr>
        <w:ind w:firstLine="420"/>
        <w:spacing w:line="360" w:lineRule="auto"/>
        <w:rPr>
          <w:rFonts w:hint="eastAsia"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hint="eastAsia"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hint="eastAsia" w:ascii="宋体" w:hAnsi="宋体"/>
          <w:b/>
          <w:szCs w:val="21"/>
        </w:rPr>
      </w:pPr>
      <w:r>
        <w:rPr>
          <w:rFonts w:hint="eastAsia" w:ascii="宋体" w:hAnsi="宋体"/>
          <w:b/>
          <w:szCs w:val="21"/>
        </w:rPr>
        <w:t xml:space="preserve">3、适用法律</w:t>
      </w:r>
      <w:r/>
    </w:p>
    <w:p>
      <w:pPr>
        <w:ind w:firstLine="420"/>
        <w:spacing w:line="360" w:lineRule="auto"/>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hint="eastAsia" w:ascii="宋体" w:hAnsi="宋体"/>
          <w:b/>
          <w:szCs w:val="21"/>
        </w:rPr>
      </w:pPr>
      <w:r>
        <w:rPr>
          <w:rFonts w:hint="eastAsia" w:ascii="宋体" w:hAnsi="宋体"/>
          <w:b/>
          <w:szCs w:val="21"/>
        </w:rPr>
        <w:t xml:space="preserve">4、投标费用</w:t>
      </w:r>
      <w:r/>
    </w:p>
    <w:p>
      <w:pPr>
        <w:ind w:firstLine="420"/>
        <w:spacing w:line="360" w:lineRule="auto"/>
      </w:pPr>
      <w:r>
        <w:t xml:space="preserve">4.1 投标人应自行承担所有与参加投标有关的费用，无论投标过程中的做法和结果如 何，代理机构在任何情况下均无义务和责任承担这些费用。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号文)服务类的标准收取。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firstLine="420"/>
        <w:spacing w:line="360" w:lineRule="auto"/>
      </w:pPr>
      <w:r>
        <w:t xml:space="preserve">招标代理服务费开户银行：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开户行:中信银行扬州邗江支行</w:t>
      </w:r>
      <w:r/>
    </w:p>
    <w:p>
      <w:pPr>
        <w:ind w:right="366" w:firstLine="420"/>
        <w:jc w:val="left"/>
        <w:spacing w:line="440" w:lineRule="exact"/>
      </w:pPr>
      <w:r>
        <w:rPr>
          <w:rFonts w:ascii="Times New Roman" w:hAnsi="Times New Roman"/>
        </w:rPr>
        <w:t xml:space="preserve">帐号:7328410182600010543</w:t>
      </w:r>
      <w:r/>
    </w:p>
    <w:p>
      <w:pPr>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ind w:firstLine="422"/>
        <w:spacing w:line="360" w:lineRule="auto"/>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 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（1）招标公告</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w:t>
      </w:r>
      <w:r>
        <w:rPr>
          <w:rFonts w:hint="eastAsia" w:ascii="宋体" w:hAnsi="宋体" w:cs="宋体"/>
          <w:bCs/>
        </w:rPr>
        <w:t xml:space="preserve">“扬州市政府采购网”、“江苏省政府采购网”</w:t>
      </w:r>
      <w:r>
        <w:rPr>
          <w:rFonts w:hint="eastAsia" w:ascii="宋体" w:hAnsi="宋体"/>
          <w:bCs/>
          <w:szCs w:val="21"/>
        </w:rPr>
        <w:t xml:space="preserve">公布，补充文件将作为招标文件的组成部分，并对投标人具有约束力。</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0"/>
        <w:spacing w:line="360" w:lineRule="auto"/>
        <w:rPr>
          <w:rFonts w:hint="eastAsia" w:ascii="宋体" w:hAnsi="宋体"/>
          <w:bCs/>
          <w:szCs w:val="21"/>
        </w:rPr>
      </w:pPr>
      <w:r>
        <w:rPr>
          <w:rFonts w:hint="eastAsia" w:ascii="宋体" w:hAnsi="宋体"/>
          <w:bCs/>
          <w:szCs w:val="21"/>
        </w:rPr>
        <w:t xml:space="preserve">（1）资格审查响应对照表</w:t>
      </w:r>
      <w:r/>
    </w:p>
    <w:p>
      <w:pPr>
        <w:ind w:firstLine="420"/>
        <w:spacing w:line="360" w:lineRule="auto"/>
        <w:rPr>
          <w:rFonts w:hint="eastAsia" w:ascii="宋体" w:hAnsi="宋体"/>
          <w:bCs/>
          <w:szCs w:val="21"/>
        </w:rPr>
      </w:pPr>
      <w:r>
        <w:rPr>
          <w:rFonts w:hint="eastAsia" w:ascii="宋体" w:hAnsi="宋体"/>
          <w:bCs/>
          <w:szCs w:val="21"/>
        </w:rPr>
        <w:t xml:space="preserve">（2）符合性审查响应对照表</w:t>
      </w:r>
      <w:r/>
    </w:p>
    <w:p>
      <w:pPr>
        <w:ind w:firstLine="420"/>
        <w:spacing w:line="360" w:lineRule="auto"/>
        <w:rPr>
          <w:rFonts w:hint="eastAsia" w:ascii="宋体" w:hAnsi="宋体"/>
          <w:bCs/>
          <w:szCs w:val="21"/>
        </w:rPr>
      </w:pPr>
      <w:r>
        <w:rPr>
          <w:rFonts w:hint="eastAsia" w:ascii="宋体" w:hAnsi="宋体"/>
          <w:bCs/>
          <w:szCs w:val="21"/>
        </w:rPr>
        <w:t xml:space="preserve">（3）非实质性响应对照表</w:t>
      </w:r>
      <w:r/>
    </w:p>
    <w:p>
      <w:pPr>
        <w:ind w:firstLine="420"/>
        <w:spacing w:line="360" w:lineRule="auto"/>
        <w:rPr>
          <w:rFonts w:hint="eastAsia" w:ascii="宋体" w:hAnsi="宋体"/>
          <w:bCs/>
          <w:szCs w:val="21"/>
        </w:rPr>
      </w:pPr>
      <w:r>
        <w:rPr>
          <w:rFonts w:hint="eastAsia" w:ascii="宋体" w:hAnsi="宋体"/>
          <w:bCs/>
          <w:szCs w:val="21"/>
        </w:rPr>
        <w:t xml:space="preserve">（4）开标一览表 </w:t>
      </w:r>
      <w:r/>
    </w:p>
    <w:p>
      <w:pPr>
        <w:ind w:firstLine="420"/>
        <w:spacing w:line="360" w:lineRule="auto"/>
        <w:rPr>
          <w:rFonts w:hint="eastAsia" w:ascii="宋体" w:hAnsi="宋体"/>
          <w:bCs/>
          <w:szCs w:val="21"/>
        </w:rPr>
      </w:pPr>
      <w:r>
        <w:rPr>
          <w:rFonts w:hint="eastAsia" w:ascii="宋体" w:hAnsi="宋体"/>
          <w:bCs/>
          <w:szCs w:val="21"/>
        </w:rPr>
        <w:t xml:space="preserve">（5）分项报价表 </w:t>
      </w:r>
      <w:r/>
    </w:p>
    <w:p>
      <w:pPr>
        <w:ind w:firstLine="420"/>
        <w:spacing w:line="360" w:lineRule="auto"/>
        <w:rPr>
          <w:rFonts w:hint="eastAsia" w:ascii="宋体" w:hAnsi="宋体"/>
          <w:bCs/>
          <w:szCs w:val="21"/>
        </w:rPr>
      </w:pPr>
      <w:r>
        <w:rPr>
          <w:rFonts w:hint="eastAsia" w:ascii="宋体" w:hAnsi="宋体"/>
          <w:bCs/>
          <w:szCs w:val="21"/>
        </w:rPr>
        <w:t xml:space="preserve">（6）技术参数响应及偏离表 </w:t>
      </w:r>
      <w:r/>
    </w:p>
    <w:p>
      <w:pPr>
        <w:ind w:firstLine="420"/>
        <w:spacing w:line="360" w:lineRule="auto"/>
        <w:rPr>
          <w:rFonts w:hint="eastAsia" w:ascii="宋体" w:hAnsi="宋体"/>
          <w:bCs/>
          <w:szCs w:val="21"/>
        </w:rPr>
      </w:pPr>
      <w:r>
        <w:rPr>
          <w:rFonts w:hint="eastAsia" w:ascii="宋体" w:hAnsi="宋体"/>
          <w:bCs/>
          <w:szCs w:val="21"/>
        </w:rPr>
        <w:t xml:space="preserve">（7）商务条款响应及偏离表 </w:t>
      </w:r>
      <w:r/>
    </w:p>
    <w:p>
      <w:pPr>
        <w:ind w:firstLine="420"/>
        <w:spacing w:line="360" w:lineRule="auto"/>
        <w:rPr>
          <w:rFonts w:hint="eastAsia"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hint="eastAsia" w:ascii="宋体" w:hAnsi="宋体"/>
          <w:b/>
          <w:szCs w:val="21"/>
        </w:rPr>
      </w:pPr>
      <w:r>
        <w:rPr>
          <w:rFonts w:hint="eastAsia" w:ascii="宋体" w:hAnsi="宋体"/>
          <w:b/>
          <w:szCs w:val="21"/>
        </w:rPr>
        <w:t xml:space="preserve">12、投标配置与分项报价表</w:t>
      </w:r>
      <w:r/>
    </w:p>
    <w:p>
      <w:pPr>
        <w:ind w:firstLine="420"/>
        <w:spacing w:line="360" w:lineRule="auto"/>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bCs/>
          <w:szCs w:val="21"/>
        </w:rPr>
      </w:pPr>
      <w:r>
        <w:rPr>
          <w:rFonts w:hint="eastAsia" w:ascii="宋体" w:hAnsi="宋体"/>
          <w:bCs/>
          <w:szCs w:val="21"/>
        </w:rPr>
        <w:t xml:space="preserve">12.3有关费用处理</w:t>
      </w:r>
      <w:r/>
    </w:p>
    <w:p>
      <w:pPr>
        <w:ind w:firstLine="420"/>
        <w:spacing w:line="360" w:lineRule="auto"/>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bCs/>
          <w:szCs w:val="21"/>
        </w:rPr>
      </w:pPr>
      <w:r>
        <w:rPr>
          <w:rFonts w:hint="eastAsia" w:ascii="宋体" w:hAnsi="宋体"/>
          <w:bCs/>
          <w:szCs w:val="21"/>
        </w:rPr>
        <w:t xml:space="preserve">12.4其它费用处理</w:t>
      </w:r>
      <w:r/>
    </w:p>
    <w:p>
      <w:pPr>
        <w:ind w:firstLine="420"/>
        <w:spacing w:line="360" w:lineRule="auto"/>
        <w:rPr>
          <w:rFonts w:hint="eastAsia"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hint="eastAsia" w:ascii="宋体" w:hAnsi="宋体"/>
          <w:bCs/>
          <w:szCs w:val="21"/>
        </w:rPr>
      </w:pPr>
      <w:r>
        <w:rPr>
          <w:rFonts w:hint="eastAsia" w:ascii="宋体" w:hAnsi="宋体"/>
          <w:bCs/>
          <w:szCs w:val="21"/>
        </w:rPr>
        <w:t xml:space="preserve">12.5投标货币</w:t>
      </w:r>
      <w:r/>
    </w:p>
    <w:p>
      <w:pPr>
        <w:ind w:firstLine="420"/>
        <w:spacing w:line="360" w:lineRule="auto"/>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 培训计划；</w:t>
      </w:r>
      <w:r/>
    </w:p>
    <w:p>
      <w:pPr>
        <w:ind w:firstLine="420"/>
        <w:spacing w:line="360" w:lineRule="auto"/>
        <w:rPr>
          <w:rFonts w:hint="eastAsia"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hint="eastAsia"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2" w:name="_Toc462564084"/>
      <w:r/>
      <w:bookmarkStart w:id="43" w:name="_Toc513029225"/>
      <w:r/>
      <w:bookmarkStart w:id="44" w:name="_Toc16938541"/>
      <w:r/>
      <w:bookmarkStart w:id="45" w:name="_Toc20823297"/>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hint="eastAsia"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49" w:name="_Toc20823299"/>
      <w:r/>
      <w:bookmarkStart w:id="50" w:name="_Toc16938543"/>
      <w:r/>
      <w:bookmarkStart w:id="51" w:name="_Toc513029227"/>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52" w:name="_Toc20823300"/>
      <w:r/>
      <w:bookmarkStart w:id="53" w:name="_Toc16938544"/>
      <w:r/>
      <w:bookmarkStart w:id="54" w:name="_Toc513029228"/>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hint="eastAsia" w:ascii="宋体" w:hAnsi="宋体"/>
          <w:bCs/>
          <w:szCs w:val="21"/>
        </w:rPr>
      </w:pPr>
      <w:r>
        <w:rPr>
          <w:rFonts w:hint="eastAsia" w:ascii="宋体" w:hAnsi="宋体"/>
          <w:bCs/>
          <w:szCs w:val="21"/>
        </w:rPr>
        <w:t xml:space="preserve">20.1 投标文件的撤回</w:t>
      </w:r>
      <w:r/>
    </w:p>
    <w:p>
      <w:pPr>
        <w:ind w:firstLine="420"/>
        <w:spacing w:line="360" w:lineRule="auto"/>
        <w:rPr>
          <w:rFonts w:hint="eastAsia" w:ascii="宋体" w:hAnsi="宋体"/>
          <w:bCs/>
          <w:szCs w:val="21"/>
        </w:rPr>
      </w:pPr>
      <w:r>
        <w:rPr>
          <w:rFonts w:hint="eastAsia" w:ascii="宋体" w:hAnsi="宋体"/>
          <w:bCs/>
          <w:szCs w:val="21"/>
        </w:rPr>
        <w:t xml:space="preserve">20.1.1 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 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spacing w:line="360" w:lineRule="auto"/>
        <w:rPr>
          <w:rFonts w:hint="eastAsia"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hint="eastAsia"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hint="eastAsia"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hint="eastAsia"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hint="eastAsia"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hint="eastAsia"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hint="eastAsia"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26.2废标条款：</w:t>
      </w:r>
      <w:r/>
    </w:p>
    <w:p>
      <w:pPr>
        <w:ind w:firstLine="420"/>
        <w:spacing w:line="360" w:lineRule="auto"/>
        <w:rPr>
          <w:rFonts w:hint="eastAsia"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szCs w:val="21"/>
        </w:rPr>
      </w:pPr>
      <w:r>
        <w:rPr>
          <w:rFonts w:hint="eastAsia" w:ascii="宋体" w:hAnsi="宋体"/>
          <w:bCs/>
          <w:szCs w:val="21"/>
        </w:rPr>
        <w:t xml:space="preserve">26.2.3因重大变故，采购任务取消的。</w:t>
      </w:r>
      <w:r/>
    </w:p>
    <w:p>
      <w:pPr>
        <w:ind w:firstLine="420"/>
        <w:spacing w:line="360" w:lineRule="auto"/>
        <w:rPr>
          <w:rFonts w:hint="eastAsia"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hint="eastAsia"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hint="eastAsia"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w:t>
      </w:r>
      <w:r>
        <w:rPr>
          <w:rFonts w:hint="eastAsia" w:ascii="宋体" w:hAnsi="宋体" w:cs="宋体"/>
          <w:bCs/>
        </w:rPr>
        <w:t xml:space="preserve">“扬州市政府采购网”、“江苏省政府采购网”</w:t>
      </w:r>
      <w:r>
        <w:rPr>
          <w:rFonts w:hint="eastAsia" w:ascii="宋体" w:hAnsi="宋体"/>
          <w:bCs/>
          <w:szCs w:val="21"/>
        </w:rPr>
        <w:t xml:space="preserve">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hint="eastAsia" w:ascii="宋体" w:hAnsi="宋体"/>
          <w:bCs/>
          <w:szCs w:val="21"/>
        </w:rPr>
      </w:pPr>
      <w:r>
        <w:rPr>
          <w:rFonts w:hint="eastAsia" w:ascii="宋体" w:hAnsi="宋体"/>
          <w:bCs/>
          <w:szCs w:val="21"/>
        </w:rPr>
        <w:t xml:space="preserve">28.8 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 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szCs w:val="21"/>
        </w:rPr>
      </w:pPr>
      <w:r>
        <w:rPr>
          <w:rFonts w:hint="eastAsia" w:ascii="宋体" w:hAnsi="宋体"/>
          <w:b/>
          <w:szCs w:val="21"/>
        </w:rPr>
        <w:t xml:space="preserve">31、电子投标文件要求</w:t>
      </w:r>
      <w:r/>
    </w:p>
    <w:p>
      <w:pPr>
        <w:ind w:firstLine="422"/>
        <w:spacing w:line="360" w:lineRule="auto"/>
        <w:rPr>
          <w:rFonts w:hint="eastAsia"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hint="eastAsia"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hint="eastAsia"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hint="eastAsia" w:ascii="宋体" w:hAnsi="宋体"/>
          <w:bCs/>
          <w:szCs w:val="21"/>
        </w:rPr>
      </w:pPr>
      <w:r>
        <w:rPr>
          <w:b/>
          <w:bCs/>
        </w:rPr>
        <w:t xml:space="preserve">3</w:t>
      </w:r>
      <w:r>
        <w:rPr>
          <w:rFonts w:hint="eastAsia"/>
          <w:b/>
          <w:bCs/>
        </w:rPr>
        <w:t xml:space="preserve">3、其他</w:t>
      </w:r>
      <w:r>
        <w:br/>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19"/>
        <w:jc w:val="center"/>
        <w:spacing w:line="360" w:lineRule="auto"/>
        <w:rPr>
          <w:rFonts w:hint="eastAsia" w:ascii="宋体" w:hAnsi="宋体"/>
          <w:szCs w:val="36"/>
        </w:rPr>
      </w:pPr>
      <w:r/>
      <w:bookmarkStart w:id="55" w:name="_Toc55204179"/>
      <w:r/>
      <w:bookmarkStart w:id="56" w:name="_Toc191970191"/>
      <w:r/>
      <w:bookmarkStart w:id="57" w:name="_Hlk69392822"/>
      <w:r>
        <w:rPr>
          <w:rFonts w:hint="eastAsia" w:ascii="宋体" w:hAnsi="宋体"/>
          <w:szCs w:val="36"/>
        </w:rPr>
        <w:t xml:space="preserve">第三章 合同条款及格式</w:t>
      </w:r>
      <w:bookmarkEnd w:id="55"/>
      <w:r/>
      <w:bookmarkEnd w:id="56"/>
      <w:r/>
      <w:r/>
    </w:p>
    <w:p>
      <w:pPr>
        <w:pStyle w:val="741"/>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29"/>
        <w:ind w:firstLine="422"/>
        <w:jc w:val="center"/>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扬州市政府采购合同（服务)（合同编号）（包号）</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项目名称：扬州市公安局警务信息化系统硬件维保       </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项目编号：JSZC-321000-HCZX-G2025-0111</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甲方：（买方）扬州市公安局</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乙方：（卖方）_________</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见证方：江苏汇诚投资咨询管理有限公司</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甲、乙双方根据江苏汇诚投资咨询管理有限公司</w:t>
      </w:r>
      <w:r>
        <w:rPr>
          <w:rFonts w:hint="eastAsia" w:hAnsi="宋体"/>
          <w:color w:val="000000" w:themeColor="text1"/>
          <w:sz w:val="21"/>
          <w:u w:val="single"/>
          <w14:textFill>
            <w14:solidFill>
              <w14:schemeClr w14:val="tx1"/>
            </w14:solidFill>
          </w14:textFill>
        </w:rPr>
        <w:t xml:space="preserve">         </w:t>
      </w:r>
      <w:r>
        <w:rPr>
          <w:rFonts w:hint="eastAsia" w:hAnsi="宋体"/>
          <w:color w:val="000000" w:themeColor="text1"/>
          <w:sz w:val="21"/>
          <w14:textFill>
            <w14:solidFill>
              <w14:schemeClr w14:val="tx1"/>
            </w14:solidFill>
          </w14:textFill>
        </w:rPr>
        <w:t xml:space="preserve">项目公开招标的结果，签署本合同。</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一、服务及货物</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1.1 服务及货物名称：</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Ansi="宋体"/>
          <w:color w:val="000000" w:themeColor="text1"/>
          <w:sz w:val="21"/>
          <w14:textFill>
            <w14:solidFill>
              <w14:schemeClr w14:val="tx1"/>
            </w14:solidFill>
          </w14:textFill>
        </w:rPr>
        <w:t xml:space="preserve">1.2 型号规格：</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Ansi="宋体"/>
          <w:color w:val="000000" w:themeColor="text1"/>
          <w:sz w:val="21"/>
          <w14:textFill>
            <w14:solidFill>
              <w14:schemeClr w14:val="tx1"/>
            </w14:solidFill>
          </w14:textFill>
        </w:rPr>
        <w:t xml:space="preserve">1.3 数量（单位）</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二、合同金额</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2.1 </w:t>
      </w:r>
      <w:r>
        <w:rPr>
          <w:rFonts w:hint="eastAsia" w:ascii="Times New Roman" w:hAnsi="Times New Roman"/>
          <w:color w:val="000000"/>
          <w:sz w:val="21"/>
        </w:rPr>
        <w:t xml:space="preserve">本合同金额为（大写）：____________________________________圆（_______________元）人民币。</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三、技术资料</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3.1乙方应按招标文件规定的时间向甲方提供使用货物及服务的有关技术资料。</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四、知识产权</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五、产权担保</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5.1 乙方保证所交付的货物及服务的所有权完全属于乙方且无任何抵押、查封等产权瑕疵。</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六、履约保证金</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Ansi="宋体"/>
          <w:color w:val="000000" w:themeColor="text1"/>
          <w:sz w:val="21"/>
          <w14:textFill>
            <w14:solidFill>
              <w14:schemeClr w14:val="tx1"/>
            </w14:solidFill>
          </w14:textFill>
        </w:rPr>
        <w:t xml:space="preserve">6.1 收取履约保证金的，</w:t>
      </w:r>
      <w:r>
        <w:rPr>
          <w:rFonts w:hint="eastAsia" w:hAnsi="宋体"/>
          <w:color w:val="000000" w:themeColor="text1"/>
          <w:sz w:val="21"/>
          <w14:textFill>
            <w14:solidFill>
              <w14:schemeClr w14:val="tx1"/>
            </w14:solidFill>
          </w14:textFill>
        </w:rPr>
        <w:t xml:space="preserve">允许中标人自主选择支票、汇票、本票、保函等非现金形式缴纳或提交，</w:t>
      </w:r>
      <w:r>
        <w:rPr>
          <w:rFonts w:hAnsi="宋体"/>
          <w:color w:val="000000" w:themeColor="text1"/>
          <w:sz w:val="21"/>
          <w14:textFill>
            <w14:solidFill>
              <w14:schemeClr w14:val="tx1"/>
            </w14:solidFill>
          </w14:textFill>
        </w:rPr>
        <w:t xml:space="preserve">应当在采购合同中约定履约保证金退还的方式、时间、条件和不予退还的情形，明确逾期退还履约保证金的违约责任。</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9"/>
        <w:ind w:firstLine="420"/>
        <w:spacing w:before="120" w:after="120"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6.4 履约保证金收取：无</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七、转包或分包</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7.1本合同范围的货物及服务，应由乙方直接供应，不得转让他人供应；</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7.2 除非得到甲方的书面同意，乙方不得部分分包给他人供应。</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7.3如有转让和未经甲方同意的分包行为，甲方有权给予终止合同。</w:t>
      </w:r>
      <w:r/>
    </w:p>
    <w:p>
      <w:pPr>
        <w:pStyle w:val="929"/>
        <w:ind w:left="315" w:firstLine="105"/>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八、服务期</w:t>
      </w:r>
      <w:r/>
    </w:p>
    <w:p>
      <w:pPr>
        <w:pStyle w:val="929"/>
        <w:ind w:firstLine="422"/>
        <w:spacing w:before="120" w:after="120" w:line="360" w:lineRule="auto"/>
        <w:rPr>
          <w:rFonts w:hint="eastAsia" w:hAnsi="宋体"/>
          <w:color w:val="000000" w:themeColor="text1"/>
          <w:sz w:val="21"/>
          <w:u w:val="single"/>
          <w14:textFill>
            <w14:solidFill>
              <w14:schemeClr w14:val="tx1"/>
            </w14:solidFill>
          </w14:textFill>
        </w:rPr>
      </w:pPr>
      <w:r>
        <w:rPr>
          <w:rFonts w:hint="eastAsia" w:hAnsi="宋体"/>
          <w:color w:val="000000" w:themeColor="text1"/>
          <w:sz w:val="21"/>
          <w14:textFill>
            <w14:solidFill>
              <w14:schemeClr w14:val="tx1"/>
            </w14:solidFill>
          </w14:textFill>
        </w:rPr>
        <w:t xml:space="preserve">8.1 服务期：</w:t>
      </w:r>
      <w:r>
        <w:rPr>
          <w:rFonts w:hint="eastAsia" w:hAnsi="宋体"/>
          <w:color w:val="000000" w:themeColor="text1"/>
          <w:sz w:val="21"/>
          <w:u w:val="single"/>
          <w14:textFill>
            <w14:solidFill>
              <w14:schemeClr w14:val="tx1"/>
            </w14:solidFill>
          </w14:textFill>
        </w:rPr>
        <w:t xml:space="preserve">一年。</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九、交付期、交付方式及交付地点</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9.1 交付期：</w:t>
      </w:r>
      <w:r>
        <w:rPr>
          <w:rFonts w:hint="eastAsia" w:hAnsi="宋体"/>
          <w:color w:val="000000" w:themeColor="text1"/>
          <w:sz w:val="21"/>
          <w:u w:val="single"/>
          <w14:textFill>
            <w14:solidFill>
              <w14:schemeClr w14:val="tx1"/>
            </w14:solidFill>
          </w14:textFill>
        </w:rPr>
        <w:t xml:space="preserve">                 </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9.2 交付方式：</w:t>
      </w:r>
      <w:r>
        <w:rPr>
          <w:rFonts w:hint="eastAsia" w:hAnsi="宋体"/>
          <w:color w:val="000000" w:themeColor="text1"/>
          <w:sz w:val="21"/>
          <w:u w:val="single"/>
          <w14:textFill>
            <w14:solidFill>
              <w14:schemeClr w14:val="tx1"/>
            </w14:solidFill>
          </w14:textFill>
        </w:rPr>
        <w:t xml:space="preserve">               </w:t>
      </w:r>
      <w:r/>
    </w:p>
    <w:p>
      <w:pPr>
        <w:pStyle w:val="929"/>
        <w:ind w:firstLine="420"/>
        <w:spacing w:before="120" w:after="120" w:line="360" w:lineRule="auto"/>
        <w:rPr>
          <w:rFonts w:hint="eastAsia" w:hAnsi="宋体"/>
          <w:color w:val="000000" w:themeColor="text1"/>
          <w:sz w:val="21"/>
          <w:u w:val="single"/>
          <w14:textFill>
            <w14:solidFill>
              <w14:schemeClr w14:val="tx1"/>
            </w14:solidFill>
          </w14:textFill>
        </w:rPr>
      </w:pPr>
      <w:r>
        <w:rPr>
          <w:rFonts w:hint="eastAsia" w:hAnsi="宋体"/>
          <w:color w:val="000000" w:themeColor="text1"/>
          <w:sz w:val="21"/>
          <w14:textFill>
            <w14:solidFill>
              <w14:schemeClr w14:val="tx1"/>
            </w14:solidFill>
          </w14:textFill>
        </w:rPr>
        <w:t xml:space="preserve">9.3 交付地点：</w:t>
      </w:r>
      <w:r>
        <w:rPr>
          <w:rFonts w:hint="eastAsia" w:hAnsi="宋体"/>
          <w:color w:val="000000" w:themeColor="text1"/>
          <w:sz w:val="21"/>
          <w:u w:val="single"/>
          <w14:textFill>
            <w14:solidFill>
              <w14:schemeClr w14:val="tx1"/>
            </w14:solidFill>
          </w14:textFill>
        </w:rPr>
        <w:t xml:space="preserve">                </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十、货款支付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 本合同项下所有款项均以人民币支付。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 本合同项下的采购资金由甲方支付，付款前乙方向甲方开具发票。</w:t>
      </w:r>
      <w:r/>
    </w:p>
    <w:p>
      <w:pPr>
        <w:pStyle w:val="929"/>
        <w:ind w:firstLine="420"/>
        <w:spacing w:before="120" w:after="120"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10.3 甲方付款方式：合同签订后，乙方向甲方开具发票，甲方自收到发票之日起10个工作日内支付乙方合同总价30%的预付款；乙方按约定完成服务期满后，乙方向甲方开具发票，甲方自收到发票之日起10个工作日内支付乙方合同总价的70%。</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十一、税费</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11.1本合同执行中相关的一切税费均由乙方负担。</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十二、质量保证及售后服务</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int="eastAsia"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12.3 如在使用过程中发生质量问题，乙方在接到甲方通知后在___小时内到达甲方现场。</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十三、交付和验收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13.1 乙方应当在合同签订后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天内完成服务事项，招标文件有约定的，从其约定。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13.2 验收标准：按乙方投标文件的承诺，并不低于国家相关标准。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对于乙方要交付的服务，甲乙双方须在</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13.5 甲乙双方关于调试和验收的其他约定：</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十四、包装、发运及运输</w:t>
      </w:r>
      <w:r/>
    </w:p>
    <w:p>
      <w:pPr>
        <w:pStyle w:val="929"/>
        <w:ind w:firstLine="42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14.1 乙方应对其提供的服务所涉及物品在发运前对其进行满足运输距离、防潮、防震、防锈和防破损装卸等要求包装，以保证安全运达甲方指定地点。</w:t>
      </w:r>
      <w:r/>
    </w:p>
    <w:p>
      <w:pPr>
        <w:pStyle w:val="929"/>
        <w:ind w:firstLine="42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14.2 乙方交付时，使用说明书、检验证明书、随配附件和工具以及清单一并附于内。</w:t>
      </w:r>
      <w:r/>
    </w:p>
    <w:p>
      <w:pPr>
        <w:pStyle w:val="929"/>
        <w:ind w:firstLine="42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29"/>
        <w:ind w:firstLine="42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14.4 服务在交付甲方前发生的风险均由乙方负责。</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14.5 服务在规定的交付期限内由乙方送达甲方指定的地点。</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十五、违约责任</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15.1 甲方无正当理由拒收服务的，甲方向乙方偿付拒收款项总值的百分之五违约金。</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15.2 甲方无故逾期验收和办理款项支付手续的,甲方应按逾期付款总额每日万分之五向乙方支付违约金。</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十六、不可抗力事件处理</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16.1 在合同有效期内，任何一方因不可抗力事件导致不能履行合同，则合同履行期可延长，其延长期与不可抗力影响期相同。</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16.2 不可抗力事件发生后，应立即通知对方，并寄送有关权威机构出具的证明。</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16.3 不可抗力事件延续120天以上，双方应通过友好协商，确定是否继续履行合同。</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十七、诉讼</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十八、</w:t>
      </w:r>
      <w:r>
        <w:rPr>
          <w:rFonts w:hint="eastAsia" w:ascii="宋体" w:hAnsi="宋体" w:cs="宋体"/>
          <w:bCs/>
          <w:color w:val="000000" w:themeColor="text1"/>
          <w14:textFill>
            <w14:solidFill>
              <w14:schemeClr w14:val="tx1"/>
            </w14:solidFill>
          </w14:textFill>
        </w:rPr>
        <w:t xml:space="preserve">为落实好政府采购履约资金扶持政策，乙方可凭政府采购合同办理融资贷款，详见江苏政府采购网“政采贷”专栏。</w:t>
      </w:r>
      <w:r/>
    </w:p>
    <w:p>
      <w:pPr>
        <w:pStyle w:val="929"/>
        <w:ind w:firstLine="422"/>
        <w:spacing w:before="120" w:after="120"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十九、合同生效及其它</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19.1 合同经双方法定代表人签章并加盖单位公章，并经江苏汇诚投资咨询管理有限公司见证盖章后生效。</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19.2本合同未尽事宜，遵照《民法典》有关条文执行。</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19.3 本合同正本一式四份，具有同等法律效力，甲方、乙方、见证方及财政监管部门各执一份。  </w:t>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tbl>
      <w:tblPr>
        <w:tblStyle w:val="72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甲方： 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见证方：江苏汇诚投资咨询管理有限公司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tc>
      </w:tr>
    </w:tbl>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ind w:firstLine="420"/>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r/>
    </w:p>
    <w:p>
      <w:pPr>
        <w:pStyle w:val="929"/>
        <w:spacing w:before="120" w:after="120"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r>
      <w:bookmarkEnd w:id="57"/>
      <w:r/>
      <w:r/>
    </w:p>
    <w:p>
      <w:pPr>
        <w:pStyle w:val="719"/>
        <w:numPr>
          <w:ilvl w:val="0"/>
          <w:numId w:val="5"/>
        </w:numPr>
        <w:jc w:val="center"/>
        <w:spacing w:line="360" w:lineRule="auto"/>
        <w:rPr>
          <w:rFonts w:hint="eastAsia" w:ascii="宋体" w:hAnsi="宋体"/>
        </w:rPr>
      </w:pPr>
      <w:r/>
      <w:bookmarkStart w:id="58" w:name="_Toc191970192"/>
      <w:r>
        <w:rPr>
          <w:rFonts w:hint="eastAsia" w:ascii="宋体" w:hAnsi="宋体"/>
        </w:rPr>
        <w:t xml:space="preserve">项目需求</w:t>
      </w:r>
      <w:bookmarkEnd w:id="58"/>
      <w:r/>
      <w:r/>
    </w:p>
    <w:p>
      <w:pPr>
        <w:ind w:firstLine="422"/>
        <w:spacing w:line="360" w:lineRule="auto"/>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符合证明文件格式</w:t>
      </w:r>
      <w:r>
        <w:rPr>
          <w:b/>
          <w:bCs/>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中准确填写或上传。</w:t>
      </w:r>
      <w:r/>
    </w:p>
    <w:p>
      <w:pPr>
        <w:ind w:firstLine="432"/>
        <w:spacing w:line="440" w:lineRule="exact"/>
        <w:rPr>
          <w:rFonts w:hint="eastAsia" w:ascii="宋体" w:hAnsi="宋体" w:cs="宋体"/>
          <w:spacing w:val="3"/>
          <w:szCs w:val="21"/>
        </w:rPr>
      </w:pPr>
      <w:r>
        <w:rPr>
          <w:rFonts w:hint="eastAsia" w:ascii="宋体" w:hAnsi="宋体" w:cs="宋体"/>
          <w:spacing w:val="3"/>
          <w:szCs w:val="21"/>
        </w:rPr>
      </w:r>
      <w:r/>
    </w:p>
    <w:p>
      <w:pPr>
        <w:ind w:firstLine="424"/>
        <w:spacing w:line="360" w:lineRule="auto"/>
        <w:rPr>
          <w:rFonts w:hint="eastAsia" w:ascii="宋体" w:hAnsi="宋体" w:cs="宋体"/>
          <w:spacing w:val="1"/>
          <w:szCs w:val="21"/>
        </w:rPr>
      </w:pPr>
      <w:r>
        <w:rPr>
          <w:rFonts w:hint="eastAsia" w:ascii="宋体" w:hAnsi="宋体" w:cs="宋体"/>
          <w:spacing w:val="1"/>
          <w:szCs w:val="21"/>
        </w:rPr>
        <w:t xml:space="preserve">项目简介（概况）：对在用的261台硬件、6套软件采购为期一年的维保服务。</w:t>
      </w:r>
      <w:r/>
    </w:p>
    <w:p>
      <w:pPr>
        <w:ind w:firstLine="424"/>
        <w:spacing w:line="360" w:lineRule="auto"/>
        <w:rPr>
          <w:rFonts w:hint="eastAsia" w:ascii="宋体" w:hAnsi="宋体" w:cs="宋体"/>
          <w:spacing w:val="1"/>
          <w:szCs w:val="21"/>
        </w:rPr>
      </w:pPr>
      <w:r>
        <w:rPr>
          <w:rFonts w:hint="eastAsia" w:ascii="宋体" w:hAnsi="宋体" w:cs="宋体"/>
          <w:spacing w:val="1"/>
          <w:szCs w:val="21"/>
        </w:rPr>
        <w:t xml:space="preserve">详尽的技术及服务要求：</w:t>
      </w:r>
      <w:r/>
    </w:p>
    <w:p>
      <w:pPr>
        <w:ind w:firstLine="422"/>
        <w:spacing w:line="360" w:lineRule="auto"/>
        <w:rPr>
          <w:rFonts w:hint="eastAsia" w:ascii="宋体" w:hAnsi="宋体" w:cs="Calibri"/>
          <w:b/>
          <w:bCs/>
        </w:rPr>
      </w:pPr>
      <w:r>
        <w:rPr>
          <w:rFonts w:hint="eastAsia" w:ascii="宋体" w:hAnsi="宋体" w:cs="Calibri"/>
          <w:b/>
          <w:bCs/>
        </w:rPr>
        <w:t xml:space="preserve">一、运维服务内容</w:t>
      </w:r>
      <w:r/>
    </w:p>
    <w:p>
      <w:pPr>
        <w:ind w:firstLine="424"/>
        <w:spacing w:line="360" w:lineRule="auto"/>
        <w:rPr>
          <w:rFonts w:hint="eastAsia" w:ascii="宋体" w:hAnsi="宋体" w:cs="宋体"/>
          <w:spacing w:val="1"/>
          <w:szCs w:val="21"/>
        </w:rPr>
      </w:pPr>
      <w:r>
        <w:rPr>
          <w:rFonts w:hint="eastAsia" w:ascii="宋体" w:hAnsi="宋体" w:cs="宋体"/>
          <w:spacing w:val="1"/>
          <w:szCs w:val="21"/>
        </w:rPr>
        <w:t xml:space="preserve">针对扬州市公安局部分过保软件、硬件、软硬一体设备，购买1年的专业维保服务，包含硬件设备故障免费维修更换、系统软件专业服务等内容，同时需安排2名专业人员驻场服务（驻场服务期1年）。</w:t>
      </w:r>
      <w:r/>
    </w:p>
    <w:p>
      <w:pPr>
        <w:ind w:firstLine="424"/>
        <w:spacing w:line="360" w:lineRule="auto"/>
        <w:rPr>
          <w:rFonts w:hint="eastAsia" w:ascii="宋体" w:hAnsi="宋体" w:cs="宋体"/>
          <w:spacing w:val="1"/>
          <w:szCs w:val="21"/>
        </w:rPr>
      </w:pPr>
      <w:r>
        <w:rPr>
          <w:rFonts w:hint="eastAsia" w:ascii="宋体" w:hAnsi="宋体" w:cs="宋体"/>
          <w:spacing w:val="1"/>
          <w:szCs w:val="21"/>
        </w:rPr>
        <w:t xml:space="preserve">1、小型机运维</w:t>
      </w:r>
      <w:r/>
    </w:p>
    <w:p>
      <w:pPr>
        <w:ind w:firstLine="424"/>
        <w:spacing w:line="360" w:lineRule="auto"/>
        <w:rPr>
          <w:rFonts w:hint="eastAsia" w:ascii="宋体" w:hAnsi="宋体" w:cs="宋体"/>
          <w:spacing w:val="1"/>
          <w:szCs w:val="21"/>
        </w:rPr>
      </w:pPr>
      <w:r>
        <w:rPr>
          <w:rFonts w:hint="eastAsia" w:ascii="宋体" w:hAnsi="宋体" w:cs="宋体"/>
          <w:spacing w:val="1"/>
          <w:szCs w:val="21"/>
        </w:rPr>
        <w:t xml:space="preserve">检查是否正常运行，是否有指示硬件故障报警；检查操作系统，通过查看系统日志等方式分析判断系统的运行状况；检查CPU、内存、磁盘、网络等使用情况，记录异常信息；检查服务器卷组信息、文件系统、日志状态；检查内存交换区、CPU、硬盘I/O；检查AMS及USPV磁盘阵列</w:t>
      </w:r>
      <w:r>
        <w:rPr>
          <w:rFonts w:hint="eastAsia" w:ascii="宋体" w:hAnsi="宋体" w:cs="宋体"/>
          <w:spacing w:val="1"/>
          <w:szCs w:val="21"/>
        </w:rPr>
        <w:t xml:space="preserve">状况，有否异常情况（如风扇异常声音，硬盘故障灯亮起等）；检查光纤交换机工作是否正常 （telnet 查看端口状态）；定期更改所有主机存储及PC服务器密码，以保证系统安全稳定运行；定期对所有AIX主机进行系统加固，以加固系统安全指数；在不影响设备及系统正常运行的前提下，清理磁盘的系统垃圾文件；分析判断服务器可能存在的故障隐患及原因，第一时间提出修复、改善建议；微码升级；扫描系统漏洞，在得到许可的情况下，更新操作系统补丁；进行日常系统管理，安全保障，性能优化，应用安装调整，系统部署测试，系统资源规划等维护操作。</w:t>
      </w:r>
      <w:r/>
    </w:p>
    <w:p>
      <w:pPr>
        <w:pStyle w:val="923"/>
        <w:ind w:left="420" w:firstLine="0"/>
        <w:spacing w:line="360" w:lineRule="auto"/>
        <w:rPr>
          <w:rFonts w:hint="eastAsia" w:ascii="宋体" w:hAnsi="宋体" w:cs="Calibri"/>
        </w:rPr>
      </w:pPr>
      <w:r>
        <w:rPr>
          <w:rFonts w:hint="eastAsia" w:ascii="宋体" w:hAnsi="宋体" w:cs="Calibri"/>
        </w:rPr>
        <w:t xml:space="preserve">2、网络设备运维</w:t>
      </w:r>
      <w:r/>
    </w:p>
    <w:p>
      <w:pPr>
        <w:ind w:firstLine="420"/>
        <w:spacing w:line="360" w:lineRule="auto"/>
        <w:rPr>
          <w:rFonts w:hint="eastAsia" w:ascii="宋体" w:hAnsi="宋体" w:cs="Calibri"/>
        </w:rPr>
      </w:pPr>
      <w:r>
        <w:rPr>
          <w:rFonts w:hint="eastAsia" w:ascii="宋体" w:hAnsi="宋体" w:cs="Calibri"/>
        </w:rPr>
        <w:t xml:space="preserve">对网络设备进行日常运维，包括网络设备的配置变更操作，网络设备状态的巡查，网络设备的状态监控，提供运维方案。对网络设备的软硬件故障进行处理，提供故障处理方案。当发生造成机房网络中断，影响到现有业务系统的运行的突发故障时，按照应急方案，进行紧急故障处理，提供应急方案。熟悉网络设备配置，能够第一时间根据现场设备上自制线缆标签，查找并定位线路故障。在网络资源（IP地址）合理利用的基础上，能够最大程度上有效规划。</w:t>
      </w:r>
      <w:r/>
    </w:p>
    <w:p>
      <w:pPr>
        <w:pStyle w:val="923"/>
        <w:spacing w:line="360" w:lineRule="auto"/>
        <w:rPr>
          <w:rFonts w:hint="eastAsia" w:ascii="宋体" w:hAnsi="宋体" w:cs="Calibri"/>
        </w:rPr>
      </w:pPr>
      <w:r>
        <w:rPr>
          <w:rFonts w:hint="eastAsia" w:ascii="宋体" w:hAnsi="宋体" w:cs="Calibri"/>
        </w:rPr>
        <w:t xml:space="preserve">3、服务器运维</w:t>
      </w:r>
      <w:r/>
    </w:p>
    <w:p>
      <w:pPr>
        <w:ind w:firstLine="420"/>
        <w:spacing w:line="360" w:lineRule="auto"/>
        <w:rPr>
          <w:rFonts w:hint="eastAsia" w:ascii="宋体" w:hAnsi="宋体" w:cs="Calibri"/>
        </w:rPr>
      </w:pPr>
      <w:r>
        <w:rPr>
          <w:rFonts w:hint="eastAsia" w:ascii="宋体" w:hAnsi="宋体" w:cs="Calibri"/>
        </w:rPr>
        <w:t xml:space="preserve">检查服务器是否正常运行，是否有指示硬件故障报警；检查操作系统，通过查看系统日志等方式分析判断系统的运行状况；检查CPU、内存、磁盘、网络等的使用情况，记录异常信息；在不影响设备及系统正常运行的前提下，清理磁盘的系统垃圾文件；分析判断服务器可能存在的故障隐患及原因，第一时间提出修复、改善建议；微码升级；扫描系统漏洞，在经许可的情况下，更新操作系统补丁。</w:t>
      </w:r>
      <w:r/>
    </w:p>
    <w:p>
      <w:pPr>
        <w:ind w:firstLine="420"/>
        <w:spacing w:line="360" w:lineRule="auto"/>
        <w:rPr>
          <w:rFonts w:hint="eastAsia" w:ascii="宋体" w:hAnsi="宋体" w:cs="Calibri"/>
        </w:rPr>
      </w:pPr>
      <w:r>
        <w:rPr>
          <w:rFonts w:hint="eastAsia" w:ascii="宋体" w:hAnsi="宋体" w:cs="Calibri"/>
        </w:rPr>
        <w:t xml:space="preserve">4、系统数据运维和数据备份</w:t>
      </w:r>
      <w:r/>
    </w:p>
    <w:p>
      <w:pPr>
        <w:ind w:firstLine="420"/>
        <w:spacing w:line="360" w:lineRule="auto"/>
        <w:rPr>
          <w:rFonts w:hint="eastAsia" w:ascii="宋体" w:hAnsi="宋体" w:cs="Calibri"/>
        </w:rPr>
      </w:pPr>
      <w:r>
        <w:rPr>
          <w:rFonts w:hint="eastAsia" w:ascii="宋体" w:hAnsi="宋体" w:cs="Calibri"/>
        </w:rPr>
        <w:t xml:space="preserve">（1）为了</w:t>
      </w:r>
      <w:r>
        <w:rPr>
          <w:rFonts w:ascii="宋体" w:hAnsi="宋体" w:cs="Calibri"/>
        </w:rPr>
        <w:t xml:space="preserve">保障</w:t>
      </w:r>
      <w:r>
        <w:rPr>
          <w:rFonts w:hint="eastAsia" w:ascii="宋体" w:hAnsi="宋体" w:cs="Calibri"/>
        </w:rPr>
        <w:t xml:space="preserve">业务系统</w:t>
      </w:r>
      <w:r>
        <w:rPr>
          <w:rFonts w:ascii="宋体" w:hAnsi="宋体" w:cs="Calibri"/>
        </w:rPr>
        <w:t xml:space="preserve">有效运行所开展</w:t>
      </w:r>
      <w:r>
        <w:rPr>
          <w:rFonts w:hint="eastAsia" w:ascii="宋体" w:hAnsi="宋体" w:cs="Calibri"/>
        </w:rPr>
        <w:t xml:space="preserve">，需要提供</w:t>
      </w:r>
      <w:r>
        <w:rPr>
          <w:rFonts w:ascii="宋体" w:hAnsi="宋体" w:cs="Calibri"/>
        </w:rPr>
        <w:t xml:space="preserve">数据处理和存储服务</w:t>
      </w:r>
      <w:r>
        <w:rPr>
          <w:rFonts w:hint="eastAsia" w:ascii="宋体" w:hAnsi="宋体" w:cs="Calibri"/>
        </w:rPr>
        <w:t xml:space="preserve">等工作。包括数据收集、数据清洗、数据转换、数据存储等。</w:t>
      </w:r>
      <w:r/>
    </w:p>
    <w:p>
      <w:pPr>
        <w:ind w:firstLine="420"/>
        <w:spacing w:line="360" w:lineRule="auto"/>
        <w:rPr>
          <w:rFonts w:hint="eastAsia" w:ascii="宋体" w:hAnsi="宋体" w:cs="Calibri"/>
        </w:rPr>
      </w:pPr>
      <w:r>
        <w:rPr>
          <w:rFonts w:hint="eastAsia" w:ascii="宋体" w:hAnsi="宋体" w:cs="Calibri"/>
        </w:rPr>
        <w:t xml:space="preserve">（</w:t>
      </w:r>
      <w:r>
        <w:rPr>
          <w:rFonts w:ascii="宋体" w:hAnsi="宋体" w:cs="Calibri"/>
        </w:rPr>
        <w:t xml:space="preserve">2</w:t>
      </w:r>
      <w:r>
        <w:rPr>
          <w:rFonts w:hint="eastAsia" w:ascii="宋体" w:hAnsi="宋体" w:cs="Calibri"/>
        </w:rPr>
        <w:t xml:space="preserve">）运维服务期间支撑各警种的业务系统上线，提供资源分配、业务数据对接和网络规划服务提升工作效率。同时部分无运维服务的应用系统提供技术保障，配和业务部门支撑系统运行。</w:t>
      </w:r>
      <w:r/>
    </w:p>
    <w:p>
      <w:pPr>
        <w:ind w:firstLine="420"/>
        <w:spacing w:line="360" w:lineRule="auto"/>
        <w:rPr>
          <w:rFonts w:hint="eastAsia" w:ascii="宋体" w:hAnsi="宋体" w:cs="Calibri"/>
        </w:rPr>
      </w:pPr>
      <w:r>
        <w:rPr>
          <w:rFonts w:hint="eastAsia" w:ascii="宋体" w:hAnsi="宋体" w:cs="Calibri"/>
        </w:rPr>
        <w:t xml:space="preserve">（</w:t>
      </w:r>
      <w:r>
        <w:rPr>
          <w:rFonts w:ascii="宋体" w:hAnsi="宋体" w:cs="Calibri"/>
        </w:rPr>
        <w:t xml:space="preserve">3</w:t>
      </w:r>
      <w:r>
        <w:rPr>
          <w:rFonts w:hint="eastAsia" w:ascii="宋体" w:hAnsi="宋体" w:cs="Calibri"/>
        </w:rPr>
        <w:t xml:space="preserve">）对各类重要数据、配置文件等进行备份。主要包括：FTP的配置文件和用户信息；应用程序的配置文件；负载均衡器的配置文件；其它需要备份的数据。因意外原因致使数据库无法正常工作，由驻场工程师及时检查并提出最优解决方案，以最小代价进行数据库恢复，最大限度降低故障负面影响，记录故障恢复过程。</w:t>
      </w:r>
      <w:r/>
    </w:p>
    <w:p>
      <w:pPr>
        <w:ind w:firstLine="420"/>
        <w:spacing w:line="360" w:lineRule="auto"/>
        <w:rPr>
          <w:rFonts w:hint="eastAsia" w:ascii="宋体" w:hAnsi="宋体" w:cs="Calibri"/>
        </w:rPr>
      </w:pPr>
      <w:r>
        <w:rPr>
          <w:rFonts w:hint="eastAsia" w:ascii="宋体" w:hAnsi="宋体" w:cs="Calibri"/>
        </w:rPr>
        <w:t xml:space="preserve">（</w:t>
      </w:r>
      <w:r>
        <w:rPr>
          <w:rFonts w:ascii="宋体" w:hAnsi="宋体" w:cs="Calibri"/>
        </w:rPr>
        <w:t xml:space="preserve">4</w:t>
      </w:r>
      <w:r>
        <w:rPr>
          <w:rFonts w:hint="eastAsia" w:ascii="宋体" w:hAnsi="宋体" w:cs="Calibri"/>
        </w:rPr>
        <w:t xml:space="preserve">）对备份系统进行预防性检查维护，保障系统和相关外设的稳定运行；预防性检查内容包括备份设备状态检查，备份空间使用情况等。按需要提供微码升级、备份扩容、移机安装等技术服务；按需要提供系统集成时的系统分析、接受咨询及方案设计。建立数据库故障应急响应机制。充分了解数据库应用结构基础，建立数据库突发事件应急机制，以尽可能短的时间和代价保证应用的连续性。</w:t>
      </w:r>
      <w:r/>
    </w:p>
    <w:p>
      <w:pPr>
        <w:ind w:firstLine="420"/>
        <w:spacing w:line="360" w:lineRule="auto"/>
        <w:rPr>
          <w:rFonts w:hint="eastAsia" w:ascii="宋体" w:hAnsi="宋体" w:cs="Calibri"/>
        </w:rPr>
      </w:pPr>
      <w:r>
        <w:rPr>
          <w:rFonts w:hint="eastAsia" w:ascii="宋体" w:hAnsi="宋体" w:cs="Calibri"/>
        </w:rPr>
        <w:t xml:space="preserve">（</w:t>
      </w:r>
      <w:r>
        <w:rPr>
          <w:rFonts w:ascii="宋体" w:hAnsi="宋体" w:cs="Calibri"/>
        </w:rPr>
        <w:t xml:space="preserve">5</w:t>
      </w:r>
      <w:r>
        <w:rPr>
          <w:rFonts w:hint="eastAsia" w:ascii="宋体" w:hAnsi="宋体" w:cs="Calibri"/>
        </w:rPr>
        <w:t xml:space="preserve">）备份策略设计与备份实施。负责备份系统的有效性测试，故障或灾难恢复工作。以及备份系统性能调整、日志分析、备份策略调整等服务内容。当故障完全解决后，提交完整的问题解决文档，使之成为今后数据库系统维护参考，故障排除后需派专人跟踪数据库运行情况，确保无误。 </w:t>
      </w:r>
      <w:r/>
    </w:p>
    <w:p>
      <w:pPr>
        <w:ind w:firstLine="420"/>
        <w:spacing w:line="360" w:lineRule="auto"/>
        <w:rPr>
          <w:rFonts w:hint="eastAsia" w:ascii="宋体" w:hAnsi="宋体" w:cs="Calibri"/>
        </w:rPr>
      </w:pPr>
      <w:r>
        <w:rPr>
          <w:rFonts w:hint="eastAsia" w:ascii="宋体" w:hAnsi="宋体" w:cs="Calibri"/>
        </w:rPr>
        <w:t xml:space="preserve">5、存储阵列及扩展柜等备份设备维保要求</w:t>
      </w:r>
      <w:r/>
    </w:p>
    <w:p>
      <w:pPr>
        <w:ind w:firstLine="420"/>
        <w:spacing w:line="360" w:lineRule="auto"/>
        <w:rPr>
          <w:rFonts w:hint="eastAsia" w:ascii="宋体" w:hAnsi="宋体" w:cs="Calibri"/>
        </w:rPr>
      </w:pPr>
      <w:r>
        <w:rPr>
          <w:rFonts w:hint="eastAsia" w:ascii="宋体" w:hAnsi="宋体" w:cs="Calibri"/>
        </w:rPr>
        <w:t xml:space="preserve">检查设备是否正常运行，是否有硬件故障报警；检查存储系统内部是否有故障预警；检查备份是否正常运行；检查磁盘剩余空间；微码升级；分析判断存储系统可能存在的故障隐患及原因，第一时间提出改善建议。</w:t>
      </w:r>
      <w:r/>
    </w:p>
    <w:p>
      <w:pPr>
        <w:ind w:firstLine="420"/>
        <w:spacing w:line="360" w:lineRule="auto"/>
        <w:rPr>
          <w:rFonts w:hint="eastAsia" w:ascii="宋体" w:hAnsi="宋体" w:cs="Calibri"/>
        </w:rPr>
      </w:pPr>
      <w:r>
        <w:rPr>
          <w:rFonts w:hint="eastAsia" w:ascii="宋体" w:hAnsi="宋体" w:cs="Calibri"/>
        </w:rPr>
        <w:t xml:space="preserve">6、云平台软件运维</w:t>
      </w:r>
      <w:r/>
    </w:p>
    <w:p>
      <w:pPr>
        <w:ind w:firstLine="420"/>
        <w:spacing w:line="360" w:lineRule="auto"/>
        <w:rPr>
          <w:rFonts w:hint="eastAsia" w:ascii="宋体" w:hAnsi="宋体" w:cs="Calibri"/>
        </w:rPr>
      </w:pPr>
      <w:r>
        <w:rPr>
          <w:rFonts w:hint="eastAsia" w:ascii="宋体" w:hAnsi="宋体" w:cs="Calibri"/>
        </w:rPr>
        <w:t xml:space="preserve">（1）电话支持服务。提供24小时不间断的原厂售后技术支持（故障申报、硬件报修等）服务。</w:t>
      </w:r>
      <w:r/>
    </w:p>
    <w:p>
      <w:pPr>
        <w:ind w:firstLine="420"/>
        <w:spacing w:line="360" w:lineRule="auto"/>
        <w:rPr>
          <w:rFonts w:hint="eastAsia" w:ascii="宋体" w:hAnsi="宋体" w:cs="Calibri"/>
        </w:rPr>
      </w:pPr>
      <w:r>
        <w:rPr>
          <w:rFonts w:hint="eastAsia" w:ascii="宋体" w:hAnsi="宋体" w:cs="Calibri"/>
        </w:rPr>
        <w:t xml:space="preserve">（2）远程问题处理。针对现场出现的问题和故障，进行远程分析、诊断、定位，并提供解决方案，引导现场技术人员实施解决。</w:t>
      </w:r>
      <w:r/>
    </w:p>
    <w:p>
      <w:pPr>
        <w:ind w:firstLine="420"/>
        <w:spacing w:line="360" w:lineRule="auto"/>
        <w:rPr>
          <w:rFonts w:hint="eastAsia" w:ascii="宋体" w:hAnsi="宋体" w:cs="Calibri"/>
        </w:rPr>
      </w:pPr>
      <w:r>
        <w:rPr>
          <w:rFonts w:hint="eastAsia" w:ascii="宋体" w:hAnsi="宋体" w:cs="Calibri"/>
        </w:rPr>
        <w:t xml:space="preserve">（3）软件补丁下载。提供软件修正补丁，由客户自行安装。补丁是指华为对原授权软件所做的修正和补充，是此版本软件运行过程中已发现问题的解决措施，这些软件补丁都在实际应用环境或者模拟实验网中得到改进和验证，将对原授权软件起到消除运行隐患的作用。</w:t>
      </w:r>
      <w:r/>
    </w:p>
    <w:p>
      <w:pPr>
        <w:ind w:firstLine="420"/>
        <w:spacing w:line="360" w:lineRule="auto"/>
        <w:rPr>
          <w:rFonts w:hint="eastAsia" w:ascii="宋体" w:hAnsi="宋体" w:cs="Calibri"/>
        </w:rPr>
      </w:pPr>
      <w:r>
        <w:rPr>
          <w:rFonts w:hint="eastAsia" w:ascii="宋体" w:hAnsi="宋体" w:cs="Calibri"/>
        </w:rPr>
        <w:t xml:space="preserve">（4）软件升级下载。软件升级下载服务提供有新功能或新特性的软件版本，以确保所购买的应用软件始终处于最优性能，满足更多应用场景和更高业务需求。</w:t>
      </w:r>
      <w:r/>
    </w:p>
    <w:p>
      <w:pPr>
        <w:ind w:firstLine="420"/>
        <w:spacing w:line="360" w:lineRule="auto"/>
        <w:rPr>
          <w:rFonts w:hint="eastAsia" w:ascii="宋体" w:hAnsi="宋体" w:cs="Calibri"/>
          <w:i/>
          <w:iCs/>
          <w:color w:val="000000"/>
          <w:u w:val="single"/>
        </w:rPr>
      </w:pPr>
      <w:r>
        <w:rPr>
          <w:rFonts w:hint="eastAsia" w:ascii="宋体" w:hAnsi="宋体" w:cs="Calibri"/>
          <w:i/>
          <w:iCs/>
          <w:color w:val="000000"/>
          <w:u w:val="single"/>
        </w:rPr>
        <w:t xml:space="preserve">投标人承诺中标后为本项目购买原厂技术服务；（须提供承诺函，扫描上传）</w:t>
      </w:r>
      <w:r/>
    </w:p>
    <w:p>
      <w:pPr>
        <w:ind w:firstLine="420"/>
        <w:spacing w:line="360" w:lineRule="auto"/>
        <w:rPr>
          <w:rFonts w:hint="eastAsia" w:ascii="宋体" w:hAnsi="宋体" w:cs="Calibri"/>
        </w:rPr>
      </w:pPr>
      <w:r>
        <w:rPr>
          <w:rFonts w:ascii="宋体" w:hAnsi="宋体" w:cs="Calibri"/>
        </w:rPr>
        <w:t xml:space="preserve">7</w:t>
      </w:r>
      <w:r>
        <w:rPr>
          <w:rFonts w:hint="eastAsia" w:ascii="宋体" w:hAnsi="宋体" w:cs="Calibri"/>
        </w:rPr>
        <w:t xml:space="preserve">、其他相关运维服务。应采购人要求，协助完成警务云平台基础环境部署、迁移、应用、运维等工作；配合第三方开发单位，完成第三方应用上云部署、迁移、运维等工作；完成与警务云平台相关的其他需要完成的工作。</w:t>
      </w:r>
      <w:r/>
    </w:p>
    <w:p>
      <w:pPr>
        <w:ind w:firstLine="420"/>
        <w:spacing w:line="360" w:lineRule="auto"/>
        <w:rPr>
          <w:rFonts w:hint="eastAsia" w:ascii="宋体" w:hAnsi="宋体" w:cs="Calibri"/>
        </w:rPr>
      </w:pPr>
      <w:r>
        <w:rPr>
          <w:rFonts w:ascii="宋体" w:hAnsi="宋体" w:cs="Calibri"/>
        </w:rPr>
        <w:t xml:space="preserve">8</w:t>
      </w:r>
      <w:r>
        <w:rPr>
          <w:rFonts w:hint="eastAsia" w:ascii="宋体" w:hAnsi="宋体" w:cs="Calibri"/>
        </w:rPr>
        <w:t xml:space="preserve">、驻场运维</w:t>
      </w:r>
      <w:r/>
    </w:p>
    <w:p>
      <w:pPr>
        <w:ind w:firstLine="420"/>
        <w:spacing w:line="360" w:lineRule="auto"/>
        <w:rPr>
          <w:rFonts w:hint="eastAsia" w:ascii="宋体" w:hAnsi="宋体" w:cs="Calibri"/>
        </w:rPr>
      </w:pPr>
      <w:r>
        <w:rPr>
          <w:rFonts w:hint="eastAsia" w:ascii="宋体" w:hAnsi="宋体" w:cs="Calibri"/>
        </w:rPr>
        <w:t xml:space="preserve">中标人需提供2名驻场技术人员，要求具有3年以上工作经验（提供近三个月内任意一个月缴纳社保的证明），负责维保设备的日常巡检、故障排除、设备管理，协助信息化系统对接、数据处理等技术支持，具备数据库系统工程师和网络工程师相关证书，服务期限1年（合同签订之日起）。</w:t>
      </w:r>
      <w:r/>
    </w:p>
    <w:p>
      <w:pPr>
        <w:ind w:firstLine="420"/>
        <w:spacing w:line="360" w:lineRule="auto"/>
      </w:pPr>
      <w:r>
        <w:rPr>
          <w:rFonts w:hint="eastAsia" w:ascii="宋体" w:hAnsi="宋体" w:cs="Calibri"/>
          <w:i/>
          <w:iCs/>
          <w:color w:val="000000"/>
          <w:u w:val="single"/>
        </w:rPr>
        <w:t xml:space="preserve">投标人承诺中标后为本项目安排符合要求的2名驻场技术人员；（须提供承诺函，扫描上传）</w:t>
      </w:r>
      <w:r/>
    </w:p>
    <w:p>
      <w:pPr>
        <w:ind w:firstLine="482"/>
        <w:spacing w:line="560" w:lineRule="exact"/>
        <w:rPr>
          <w:rFonts w:hint="eastAsia" w:ascii="宋体" w:hAnsi="宋体" w:cs="宋体"/>
          <w:b/>
          <w:bCs/>
          <w:sz w:val="24"/>
        </w:rPr>
      </w:pPr>
      <w:r>
        <w:rPr>
          <w:rFonts w:hint="eastAsia" w:ascii="宋体" w:hAnsi="宋体" w:cs="Calibri"/>
          <w:b/>
          <w:bCs/>
        </w:rPr>
        <w:t xml:space="preserve">二、维保服务设备清单</w:t>
      </w:r>
      <w:r/>
    </w:p>
    <w:tbl>
      <w:tblPr>
        <w:tblStyle w:val="729"/>
        <w:tblW w:w="8286" w:type="dxa"/>
        <w:tblInd w:w="118" w:type="dxa"/>
        <w:tblLayout w:type="autofit"/>
        <w:tblCellMar>
          <w:left w:w="108" w:type="dxa"/>
          <w:top w:w="0" w:type="dxa"/>
          <w:right w:w="108" w:type="dxa"/>
          <w:bottom w:w="0" w:type="dxa"/>
        </w:tblCellMar>
        <w:tblLook w:val="04A0" w:firstRow="1" w:lastRow="0" w:firstColumn="1" w:lastColumn="0" w:noHBand="0" w:noVBand="1"/>
      </w:tblPr>
      <w:tblGrid>
        <w:gridCol w:w="765"/>
        <w:gridCol w:w="1891"/>
        <w:gridCol w:w="1445"/>
        <w:gridCol w:w="2268"/>
        <w:gridCol w:w="1917"/>
      </w:tblGrid>
      <w:tr>
        <w:trPr>
          <w:trHeight w:val="525"/>
        </w:trPr>
        <w:tc>
          <w:tcPr>
            <w:tcBorders>
              <w:top w:val="single" w:color="auto" w:sz="8"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auto" w:sz="8" w:space="0"/>
              <w:left w:val="none" w:color="000000" w:sz="4" w:space="0"/>
              <w:bottom w:val="single" w:color="auto" w:sz="8" w:space="0"/>
              <w:right w:val="single" w:color="auto" w:sz="4" w:space="0"/>
            </w:tcBorders>
            <w:tcW w:w="189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auto" w:sz="8"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设备分类</w:t>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设备品牌型号</w:t>
            </w:r>
            <w:r/>
          </w:p>
        </w:tc>
        <w:tc>
          <w:tcPr>
            <w:tcBorders>
              <w:top w:val="single" w:color="auto" w:sz="8"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数量（台）</w:t>
            </w:r>
            <w:r/>
          </w:p>
        </w:tc>
      </w:tr>
      <w:tr>
        <w:trPr>
          <w:trHeight w:val="330"/>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000000" w:fill="ffffff"/>
            <w:tcBorders>
              <w:top w:val="none" w:color="000000" w:sz="4" w:space="0"/>
              <w:left w:val="none" w:color="000000" w:sz="4" w:space="0"/>
              <w:right w:val="single" w:color="auto" w:sz="4" w:space="0"/>
            </w:tcBorders>
            <w:tcW w:w="189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硬件</w:t>
            </w:r>
            <w:r/>
          </w:p>
        </w:tc>
        <w:tc>
          <w:tcPr>
            <w:shd w:val="clear" w:color="000000" w:fill="ffffff"/>
            <w:tcBorders>
              <w:top w:val="single" w:color="auto" w:sz="4" w:space="0"/>
              <w:left w:val="single" w:color="auto" w:sz="4" w:space="0"/>
              <w:right w:val="single" w:color="auto" w:sz="4" w:space="0"/>
            </w:tcBorders>
            <w:tcW w:w="1445"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服务器</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 NF8460M3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 NF8460M4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浪潮NF8480M5</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浪潮NF5280M4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 NF5280M5</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 NF5240M4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RH8100V3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RH2288 V3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117</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华为2288H V5</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华为2288X V5</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华为2488H V5</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I620-G30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W760-G30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I620-G20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S640-G30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TC 4600T G3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曙光 H520-G30A</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联想SR550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旷视 KSS-CS4011-H4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旷视 KSS-CS3010-H8</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宁畅X620 G30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bottom w:val="single" w:color="auto" w:sz="8"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H3C R4900G3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8" w:space="0"/>
              <w:left w:val="single" w:color="auto" w:sz="4" w:space="0"/>
              <w:bottom w:val="single" w:color="auto" w:sz="8" w:space="0"/>
              <w:right w:val="single" w:color="auto" w:sz="4" w:space="0"/>
            </w:tcBorders>
            <w:tcW w:w="144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小型机</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浪商 K1 Power S822</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right w:val="single" w:color="auto" w:sz="4" w:space="0"/>
            </w:tcBorders>
            <w:tcW w:w="1445"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存储设备</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博科 Brocade 6510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博科 360-0008</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 AS1000G6</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27</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浪潮AS2600-2G</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28</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OceanStor 5300V3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29</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OceanStor 5500 V3</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30</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华为OceanStor 5110 V5 增强版</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31</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华为SNS 2624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32</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bottom w:val="single" w:color="auto" w:sz="8"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OceanStor SNS2124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33</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right w:val="single" w:color="auto" w:sz="4" w:space="0"/>
            </w:tcBorders>
            <w:tcW w:w="1445"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网络设备</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CE6855-48S6Q-HI</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34</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CE5855-48T4S2Q-EI</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35</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华为S5720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36</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华为S5731-H24T4XC</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37</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华为S5735-L24T4S-A</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38</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H3C-S5130</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39</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H3C LS-5130-28S-SI</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40</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bottom w:val="single" w:color="auto" w:sz="8"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Dell N4064</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41</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right w:val="single" w:color="auto" w:sz="4" w:space="0"/>
            </w:tcBorders>
            <w:tcW w:w="1445"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安全设备</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安华金和 DBA-32000 DAS/V3.2</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42</w:t>
            </w:r>
            <w:r/>
          </w:p>
        </w:tc>
        <w:tc>
          <w:tcPr>
            <w:shd w:val="clear" w:color="000000" w:fill="ffffff"/>
            <w:tcBorders>
              <w:left w:val="none" w:color="000000" w:sz="4"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上海辰锐 OWST-15000-YD</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43</w:t>
            </w:r>
            <w:r/>
          </w:p>
        </w:tc>
        <w:tc>
          <w:tcPr>
            <w:shd w:val="clear" w:color="000000" w:fill="ffffff"/>
            <w:tcBorders>
              <w:left w:val="none" w:color="000000" w:sz="4" w:space="0"/>
              <w:bottom w:val="single" w:color="auto" w:sz="8"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bottom w:val="single" w:color="auto" w:sz="8"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华为 USG6635E</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rPr>
                <w:rFonts w:ascii="宋体" w:hAnsi="宋体" w:cs="宋体"/>
                <w:color w:val="000000"/>
              </w:rPr>
              <w:t xml:space="preserve">4</w:t>
            </w:r>
            <w:r/>
          </w:p>
        </w:tc>
        <w:tc>
          <w:tcPr>
            <w:shd w:val="clear" w:color="000000" w:fill="ffffff"/>
            <w:tcBorders>
              <w:left w:val="none" w:color="000000" w:sz="4" w:space="0"/>
              <w:right w:val="single" w:color="auto" w:sz="4" w:space="0"/>
            </w:tcBorders>
            <w:tcW w:w="189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成品软件</w:t>
            </w:r>
            <w:r/>
          </w:p>
        </w:tc>
        <w:tc>
          <w:tcPr>
            <w:shd w:val="clear" w:color="000000" w:fill="ffffff"/>
            <w:tcBorders>
              <w:left w:val="single" w:color="auto" w:sz="4" w:space="0"/>
              <w:right w:val="single" w:color="auto" w:sz="4" w:space="0"/>
            </w:tcBorders>
            <w:tcW w:w="1445"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云平台软件</w:t>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Arial"/>
                <w:color w:val="000000"/>
              </w:rPr>
              <w:t xml:space="preserve">华为云平台软件（虚拟化-5</w:t>
            </w:r>
            <w:r>
              <w:rPr>
                <w:rFonts w:ascii="宋体" w:hAnsi="宋体" w:cs="Arial"/>
                <w:color w:val="000000"/>
              </w:rPr>
              <w:t xml:space="preserve">8</w:t>
            </w:r>
            <w:r>
              <w:rPr>
                <w:rFonts w:hint="eastAsia" w:ascii="宋体" w:hAnsi="宋体" w:cs="Arial"/>
                <w:color w:val="000000"/>
              </w:rPr>
              <w:t xml:space="preserve">CPU、大数据-5</w:t>
            </w:r>
            <w:r>
              <w:rPr>
                <w:rFonts w:ascii="宋体" w:hAnsi="宋体" w:cs="Arial"/>
                <w:color w:val="000000"/>
              </w:rPr>
              <w:t xml:space="preserve">3</w:t>
            </w:r>
            <w:r>
              <w:rPr>
                <w:rFonts w:hint="eastAsia" w:ascii="宋体" w:hAnsi="宋体" w:cs="Arial"/>
                <w:color w:val="000000"/>
              </w:rPr>
              <w:t xml:space="preserve">节点、MPP</w:t>
            </w:r>
            <w:r>
              <w:rPr>
                <w:rFonts w:ascii="宋体" w:hAnsi="宋体" w:cs="Arial"/>
                <w:color w:val="000000"/>
              </w:rPr>
              <w:t xml:space="preserve">-60</w:t>
            </w:r>
            <w:r>
              <w:rPr>
                <w:rFonts w:hint="eastAsia" w:ascii="宋体" w:hAnsi="宋体" w:cs="Arial"/>
                <w:color w:val="000000"/>
              </w:rPr>
              <w:t xml:space="preserve">T、块存储-</w:t>
            </w:r>
            <w:r>
              <w:rPr>
                <w:rFonts w:ascii="宋体" w:hAnsi="宋体" w:cs="Arial"/>
                <w:color w:val="000000"/>
              </w:rPr>
              <w:t xml:space="preserve">712T</w:t>
            </w:r>
            <w:r>
              <w:rPr>
                <w:rFonts w:hint="eastAsia" w:ascii="宋体" w:hAnsi="宋体" w:cs="Arial"/>
                <w:color w:val="000000"/>
              </w:rPr>
              <w:t xml:space="preserve">等）</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285"/>
        </w:trPr>
        <w:tc>
          <w:tcPr>
            <w:shd w:val="clear" w:color="000000" w:fill="ffffff"/>
            <w:tcBorders>
              <w:top w:val="none" w:color="000000" w:sz="4" w:space="0"/>
              <w:left w:val="single" w:color="auto" w:sz="8" w:space="0"/>
              <w:bottom w:val="single" w:color="auto" w:sz="8" w:space="0"/>
              <w:right w:val="single" w:color="auto" w:sz="8" w:space="0"/>
            </w:tcBorders>
            <w:tcW w:w="76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rPr>
                <w:rFonts w:ascii="宋体" w:hAnsi="宋体" w:cs="宋体"/>
                <w:color w:val="000000"/>
              </w:rPr>
              <w:t xml:space="preserve">5</w:t>
            </w:r>
            <w:r/>
          </w:p>
        </w:tc>
        <w:tc>
          <w:tcPr>
            <w:shd w:val="clear" w:color="000000" w:fill="ffffff"/>
            <w:tcBorders>
              <w:left w:val="none" w:color="000000" w:sz="4" w:space="0"/>
              <w:bottom w:val="single" w:color="auto" w:sz="8" w:space="0"/>
              <w:right w:val="single" w:color="auto" w:sz="4" w:space="0"/>
            </w:tcBorders>
            <w:tcW w:w="1891" w:type="dxa"/>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left w:val="single" w:color="auto" w:sz="4" w:space="0"/>
              <w:bottom w:val="single" w:color="auto" w:sz="8" w:space="0"/>
              <w:right w:val="single" w:color="auto" w:sz="4" w:space="0"/>
            </w:tcBorders>
            <w:tcW w:w="1445"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single" w:color="auto" w:sz="4" w:space="0"/>
              <w:bottom w:val="single" w:color="auto" w:sz="8" w:space="0"/>
              <w:right w:val="single" w:color="auto" w:sz="8" w:space="0"/>
            </w:tcBorders>
            <w:tcW w:w="2268" w:type="dxa"/>
            <w:vAlign w:val="center"/>
            <w:textDirection w:val="lrTb"/>
            <w:noWrap w:val="false"/>
          </w:tcPr>
          <w:p>
            <w:pPr>
              <w:jc w:val="center"/>
              <w:widowControl/>
              <w:rPr>
                <w:rFonts w:hint="eastAsia" w:ascii="宋体" w:hAnsi="宋体" w:cs="宋体"/>
                <w:color w:val="000000"/>
              </w:rPr>
            </w:pPr>
            <w:r>
              <w:rPr>
                <w:rFonts w:hint="eastAsia" w:ascii="宋体" w:hAnsi="宋体" w:cs="Arial"/>
                <w:color w:val="000000"/>
              </w:rPr>
              <w:t xml:space="preserve">山石应用云界(负载均衡、流量控制</w:t>
            </w:r>
            <w:r>
              <w:rPr>
                <w:rFonts w:ascii="宋体" w:hAnsi="宋体" w:cs="Arial"/>
                <w:color w:val="000000"/>
              </w:rPr>
              <w:t xml:space="preserve">)</w:t>
            </w:r>
            <w:r/>
          </w:p>
        </w:tc>
        <w:tc>
          <w:tcPr>
            <w:shd w:val="clear" w:color="000000" w:fill="ffffff"/>
            <w:tcBorders>
              <w:top w:val="none" w:color="000000" w:sz="4" w:space="0"/>
              <w:left w:val="none" w:color="000000" w:sz="4" w:space="0"/>
              <w:bottom w:val="single" w:color="auto" w:sz="8" w:space="0"/>
              <w:right w:val="single" w:color="auto" w:sz="8" w:space="0"/>
            </w:tcBorders>
            <w:tcW w:w="191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85"/>
        </w:trPr>
        <w:tc>
          <w:tcPr>
            <w:gridSpan w:val="3"/>
            <w:shd w:val="clear" w:color="000000" w:fill="ffffff"/>
            <w:tcBorders>
              <w:top w:val="none" w:color="000000" w:sz="4" w:space="0"/>
              <w:left w:val="single" w:color="auto" w:sz="8" w:space="0"/>
              <w:bottom w:val="single" w:color="auto" w:sz="8" w:space="0"/>
              <w:right w:val="single" w:color="auto" w:sz="4" w:space="0"/>
            </w:tcBorders>
            <w:tcW w:w="4101" w:type="dxa"/>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合计</w:t>
            </w:r>
            <w:r/>
          </w:p>
        </w:tc>
        <w:tc>
          <w:tcPr>
            <w:gridSpan w:val="2"/>
            <w:shd w:val="clear" w:color="000000" w:fill="ffffff"/>
            <w:tcBorders>
              <w:top w:val="none" w:color="000000" w:sz="4" w:space="0"/>
              <w:left w:val="single" w:color="auto" w:sz="4" w:space="0"/>
              <w:bottom w:val="single" w:color="auto" w:sz="8" w:space="0"/>
              <w:right w:val="single" w:color="auto" w:sz="8" w:space="0"/>
            </w:tcBorders>
            <w:tcW w:w="418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267</w:t>
            </w:r>
            <w:r/>
          </w:p>
        </w:tc>
      </w:tr>
    </w:tbl>
    <w:p>
      <w:pPr>
        <w:ind w:firstLine="422"/>
        <w:spacing w:line="360" w:lineRule="auto"/>
        <w:rPr>
          <w:rFonts w:hint="eastAsia" w:ascii="宋体" w:hAnsi="宋体" w:cs="Calibri"/>
          <w:b/>
          <w:bCs/>
        </w:rPr>
      </w:pPr>
      <w:r>
        <w:rPr>
          <w:rFonts w:hint="eastAsia" w:ascii="宋体" w:hAnsi="宋体" w:cs="Calibri"/>
          <w:b/>
          <w:bCs/>
        </w:rPr>
        <w:t xml:space="preserve">三、维保服务实施要求</w:t>
      </w:r>
      <w:r/>
    </w:p>
    <w:p>
      <w:pPr>
        <w:ind w:firstLine="420"/>
        <w:spacing w:line="360" w:lineRule="auto"/>
        <w:rPr>
          <w:rFonts w:hint="eastAsia" w:ascii="宋体" w:hAnsi="宋体" w:cs="Calibri"/>
          <w:color w:val="ff0000"/>
        </w:rPr>
      </w:pPr>
      <w:r>
        <w:rPr>
          <w:rFonts w:hint="eastAsia" w:ascii="宋体" w:hAnsi="宋体" w:cs="Calibri"/>
        </w:rPr>
        <w:t xml:space="preserve">为保证维保服务质量和相关业务的安全保密要求，本项目不允许分包或转包。</w:t>
      </w:r>
      <w:r/>
    </w:p>
    <w:p>
      <w:pPr>
        <w:ind w:firstLine="482"/>
        <w:spacing w:line="560" w:lineRule="exact"/>
        <w:rPr>
          <w:rFonts w:hint="eastAsia" w:ascii="宋体" w:hAnsi="宋体" w:cs="宋体"/>
          <w:b/>
          <w:bCs/>
          <w:sz w:val="24"/>
        </w:rPr>
      </w:pPr>
      <w:r>
        <w:rPr>
          <w:rFonts w:hint="eastAsia" w:ascii="宋体" w:hAnsi="宋体" w:cs="宋体"/>
          <w:b/>
          <w:bCs/>
          <w:sz w:val="24"/>
        </w:rPr>
        <w:t xml:space="preserve">（1）巡检要求</w:t>
      </w:r>
      <w:r/>
    </w:p>
    <w:p>
      <w:pPr>
        <w:ind w:firstLine="420"/>
        <w:spacing w:line="360" w:lineRule="auto"/>
        <w:rPr>
          <w:rFonts w:hint="eastAsia" w:ascii="宋体" w:hAnsi="宋体" w:cs="Calibri"/>
        </w:rPr>
      </w:pPr>
      <w:r>
        <w:rPr>
          <w:rFonts w:hint="eastAsia" w:ascii="宋体" w:hAnsi="宋体" w:cs="Calibri"/>
        </w:rPr>
        <w:t xml:space="preserve">驻场人员需在工作日对维保的设备进行1次日常巡检，及时发现并处置各类故障和问题，记录并及时上报相关事件，并于每月5日前出具上月巡检报告，并在特殊时间点提供不定期巡检服务。巡检结束后发现的问题进行及时处理。</w:t>
      </w:r>
      <w:r/>
    </w:p>
    <w:p>
      <w:pPr>
        <w:ind w:firstLine="420"/>
        <w:spacing w:line="360" w:lineRule="auto"/>
        <w:rPr>
          <w:rFonts w:hint="eastAsia" w:ascii="宋体" w:hAnsi="宋体" w:cs="Calibri"/>
        </w:rPr>
      </w:pPr>
      <w:r>
        <w:rPr>
          <w:rFonts w:hint="eastAsia" w:ascii="宋体" w:hAnsi="宋体" w:cs="Calibri"/>
        </w:rPr>
        <w:t xml:space="preserve">对服务器、小型机、存储、网络等设备以及数据库、中间件、备份系统等进行详细的巡检，针对不同的设备和软件，提供针对性的详细巡检内容方案。</w:t>
      </w:r>
      <w:r/>
    </w:p>
    <w:p>
      <w:pPr>
        <w:ind w:firstLine="420"/>
        <w:spacing w:line="360" w:lineRule="auto"/>
        <w:rPr>
          <w:rFonts w:hint="eastAsia" w:ascii="宋体" w:hAnsi="宋体" w:cs="Calibri"/>
        </w:rPr>
      </w:pPr>
      <w:r>
        <w:rPr>
          <w:rFonts w:hint="eastAsia" w:ascii="宋体" w:hAnsi="宋体" w:cs="Calibri"/>
        </w:rPr>
        <w:t xml:space="preserve">针对本次维保的软硬件设备，提供具体的巡检时间安排及巡检制度。</w:t>
      </w:r>
      <w:r/>
    </w:p>
    <w:p>
      <w:pPr>
        <w:ind w:firstLine="482"/>
        <w:spacing w:line="560" w:lineRule="exact"/>
        <w:rPr>
          <w:rFonts w:hint="eastAsia" w:ascii="宋体" w:hAnsi="宋体" w:cs="宋体"/>
          <w:b/>
          <w:bCs/>
          <w:sz w:val="24"/>
        </w:rPr>
      </w:pPr>
      <w:r>
        <w:rPr>
          <w:rFonts w:hint="eastAsia" w:ascii="宋体" w:hAnsi="宋体" w:cs="宋体"/>
          <w:b/>
          <w:bCs/>
          <w:sz w:val="24"/>
        </w:rPr>
        <w:t xml:space="preserve">（2）硬件故障维修与更换要求</w:t>
      </w:r>
      <w:r/>
    </w:p>
    <w:p>
      <w:pPr>
        <w:ind w:firstLine="420"/>
        <w:spacing w:line="360" w:lineRule="auto"/>
        <w:rPr>
          <w:rFonts w:hint="eastAsia" w:ascii="宋体" w:hAnsi="宋体" w:cs="Calibri"/>
          <w:color w:val="000000"/>
        </w:rPr>
      </w:pPr>
      <w:r>
        <w:rPr>
          <w:rFonts w:hint="eastAsia" w:ascii="宋体" w:hAnsi="宋体" w:cs="Calibri"/>
          <w:i/>
          <w:iCs/>
          <w:color w:val="000000"/>
          <w:u w:val="single"/>
        </w:rPr>
        <w:t xml:space="preserve">当该维保项目清单中硬件发生故障时，须在规定时间内修复，</w:t>
      </w:r>
      <w:r>
        <w:rPr>
          <w:rFonts w:hint="eastAsia" w:ascii="宋体" w:hAnsi="宋体" w:cs="Calibri"/>
          <w:i/>
          <w:iCs/>
          <w:color w:val="000000"/>
          <w:u w:val="single"/>
        </w:rPr>
        <w:t xml:space="preserve">并负责恢复正常运行状态。中标人需在5分钟内做出响应，1小时内到达现场。一般故障修复时间不超过2小时，严重故障修复时间不超过4小时。如规定时间内不能解决问题的，中标人应免费在48小时内使用不低于相同品牌、规格、型号或更高等级的部件来替换故障硬件，并恢复正常，硬盘设备不返还。若中标人未按上述约定及时响应或解决问题，采购使用单位有权另行聘请第三方提供维修服务，由此产生的费用均由中标人承担。中标人应承担故障维修期间内因操作失误而造成的故障扩大、数据损坏等责任，由此产生的费用均由中标人承担。（须提供承诺函，扫描上传）</w:t>
      </w:r>
      <w:r/>
    </w:p>
    <w:p>
      <w:pPr>
        <w:ind w:firstLine="420"/>
        <w:spacing w:line="360" w:lineRule="auto"/>
        <w:rPr>
          <w:rFonts w:hint="eastAsia" w:ascii="宋体" w:hAnsi="宋体" w:cs="Calibri"/>
        </w:rPr>
      </w:pPr>
      <w:r>
        <w:rPr>
          <w:rFonts w:hint="eastAsia" w:ascii="宋体" w:hAnsi="宋体" w:cs="Calibri"/>
        </w:rPr>
        <w:t xml:space="preserve">对维保清单中的硬件设备，针对不同的设备，提供针对性的故障恢复预案，并提供故障维修内容。</w:t>
      </w:r>
      <w:r/>
    </w:p>
    <w:p>
      <w:pPr>
        <w:ind w:firstLine="420"/>
        <w:spacing w:line="360" w:lineRule="auto"/>
        <w:rPr>
          <w:rFonts w:hint="eastAsia" w:ascii="宋体" w:hAnsi="宋体" w:cs="Calibri"/>
        </w:rPr>
      </w:pPr>
      <w:r>
        <w:rPr>
          <w:rFonts w:hint="eastAsia" w:ascii="宋体" w:hAnsi="宋体" w:cs="Calibri"/>
        </w:rPr>
        <w:t xml:space="preserve">对维保设备中日常容易发生故障的部件，如服务器的电源、硬盘、内存，存储的硬盘、电池、风扇等部件，提供部件更换方案。</w:t>
      </w:r>
      <w:r/>
    </w:p>
    <w:p>
      <w:pPr>
        <w:ind w:firstLine="420"/>
        <w:spacing w:line="360" w:lineRule="auto"/>
        <w:rPr>
          <w:rFonts w:hint="eastAsia" w:ascii="宋体" w:hAnsi="宋体" w:cs="Calibri"/>
        </w:rPr>
      </w:pPr>
      <w:r>
        <w:rPr>
          <w:rFonts w:hint="eastAsia" w:ascii="宋体" w:hAnsi="宋体" w:cs="Calibri"/>
        </w:rPr>
        <w:t xml:space="preserve">对设备维修和部件更换的过程中的风险点，提供安全注意事项方案。</w:t>
      </w:r>
      <w:r/>
    </w:p>
    <w:p>
      <w:pPr>
        <w:ind w:firstLine="420"/>
        <w:spacing w:line="360" w:lineRule="auto"/>
        <w:rPr>
          <w:rFonts w:hint="eastAsia" w:ascii="宋体" w:hAnsi="宋体" w:cs="Calibri"/>
        </w:rPr>
      </w:pPr>
      <w:r>
        <w:rPr>
          <w:rFonts w:hint="eastAsia" w:ascii="宋体" w:hAnsi="宋体" w:cs="Calibri"/>
        </w:rPr>
        <w:t xml:space="preserve">对设备维修和部件更换，针对业务系统的影响，提供更换时间进度安排。</w:t>
      </w:r>
      <w:r/>
    </w:p>
    <w:p>
      <w:pPr>
        <w:ind w:firstLine="482"/>
        <w:spacing w:line="560" w:lineRule="exact"/>
        <w:rPr>
          <w:rFonts w:hint="eastAsia" w:ascii="宋体" w:hAnsi="宋体" w:cs="宋体"/>
          <w:b/>
          <w:bCs/>
          <w:sz w:val="24"/>
        </w:rPr>
      </w:pPr>
      <w:r>
        <w:rPr>
          <w:rFonts w:hint="eastAsia" w:ascii="宋体" w:hAnsi="宋体" w:cs="宋体"/>
          <w:b/>
          <w:bCs/>
          <w:sz w:val="24"/>
        </w:rPr>
        <w:t xml:space="preserve">（3）软件故障处置和恢复要求</w:t>
      </w:r>
      <w:r/>
    </w:p>
    <w:p>
      <w:pPr>
        <w:ind w:firstLine="420"/>
        <w:spacing w:line="360" w:lineRule="auto"/>
        <w:rPr>
          <w:rFonts w:hint="eastAsia" w:ascii="宋体" w:hAnsi="宋体" w:cs="Calibri"/>
        </w:rPr>
      </w:pPr>
      <w:r>
        <w:rPr>
          <w:rFonts w:hint="eastAsia" w:ascii="宋体" w:hAnsi="宋体" w:cs="Calibri"/>
          <w:i/>
          <w:iCs/>
          <w:color w:val="000000"/>
          <w:u w:val="single"/>
        </w:rPr>
        <w:t xml:space="preserve">当该维保项目清单中软件发生故障时，须在规定时间内修复，并负责系统和数据恢复正常。中标人需在5分钟内做出响应，1小时内到达现场。一般故障修复时间不超过2小时，严重故障修复时间不超过4小时。若中标人未按上述约定及时响应或解决问题的，采购使用单位有权另行聘请第三方提供维修服务，由此产生的费用均由中标人承担。中标人应承担故障维修期间内因操作失误而造成的故障扩大、数据损坏等责任，由此产生的费用均由中标人承担。（须提供承诺函，扫描上传）</w:t>
      </w:r>
      <w:r/>
    </w:p>
    <w:p>
      <w:pPr>
        <w:ind w:firstLine="420"/>
        <w:spacing w:line="360" w:lineRule="auto"/>
        <w:rPr>
          <w:rFonts w:hint="eastAsia" w:ascii="宋体" w:hAnsi="宋体" w:cs="Calibri"/>
        </w:rPr>
      </w:pPr>
      <w:r>
        <w:rPr>
          <w:rFonts w:hint="eastAsia" w:ascii="宋体" w:hAnsi="宋体" w:cs="Calibri"/>
        </w:rPr>
        <w:t xml:space="preserve">对维保设备上运行的操作系统、数据库、中间件、备份软件等，需提供针对性的故障处理预案。</w:t>
      </w:r>
      <w:r/>
    </w:p>
    <w:p>
      <w:pPr>
        <w:ind w:firstLine="420"/>
        <w:spacing w:line="360" w:lineRule="auto"/>
        <w:rPr>
          <w:rFonts w:hint="eastAsia" w:ascii="宋体" w:hAnsi="宋体" w:cs="Calibri"/>
        </w:rPr>
      </w:pPr>
      <w:r>
        <w:rPr>
          <w:rFonts w:hint="eastAsia" w:ascii="宋体" w:hAnsi="宋体" w:cs="Calibri"/>
        </w:rPr>
        <w:t xml:space="preserve">对操作系统、数据库、中间件、备份软件等，提供不同故障的处理方案。</w:t>
      </w:r>
      <w:r/>
    </w:p>
    <w:p>
      <w:pPr>
        <w:ind w:firstLine="420"/>
        <w:spacing w:line="360" w:lineRule="auto"/>
        <w:rPr>
          <w:rFonts w:hint="eastAsia" w:ascii="宋体" w:hAnsi="宋体" w:cs="Calibri"/>
        </w:rPr>
      </w:pPr>
      <w:r>
        <w:rPr>
          <w:rFonts w:hint="eastAsia" w:ascii="宋体" w:hAnsi="宋体" w:cs="Calibri"/>
        </w:rPr>
        <w:t xml:space="preserve">对软件故障，针对业务系统的影响，提供处理故障的时间进度安排。</w:t>
      </w:r>
      <w:r/>
    </w:p>
    <w:p>
      <w:pPr>
        <w:ind w:firstLine="482"/>
        <w:spacing w:line="560" w:lineRule="exact"/>
        <w:rPr>
          <w:rFonts w:hint="eastAsia" w:ascii="宋体" w:hAnsi="宋体" w:cs="宋体"/>
          <w:b/>
          <w:bCs/>
          <w:sz w:val="24"/>
        </w:rPr>
      </w:pPr>
      <w:r>
        <w:rPr>
          <w:rFonts w:hint="eastAsia" w:ascii="宋体" w:hAnsi="宋体" w:cs="宋体"/>
          <w:b/>
          <w:bCs/>
          <w:sz w:val="24"/>
        </w:rPr>
        <w:t xml:space="preserve">（4）驻场人员工作要求</w:t>
      </w:r>
      <w:r/>
    </w:p>
    <w:p>
      <w:pPr>
        <w:ind w:firstLine="420"/>
        <w:spacing w:line="360" w:lineRule="auto"/>
        <w:rPr>
          <w:rFonts w:hint="eastAsia" w:ascii="宋体" w:hAnsi="宋体" w:cs="Calibri"/>
        </w:rPr>
      </w:pPr>
      <w:r>
        <w:rPr>
          <w:rFonts w:hint="eastAsia" w:ascii="宋体" w:hAnsi="宋体" w:cs="Calibri"/>
        </w:rPr>
        <w:t xml:space="preserve">负责维保设备的日常巡检、运维、故障处理工作，警务云平台的日常运维工作，各类系统数据库的维护工作。工作时间与扬州市公安局同步。采购人认为中标人提供的驻场技术人员不能满足工作需要的，有权要求中标人无条件更换。投标人需规范驻场人员的日常巡检、故障处理流程，并对驻场人员的日常行为进行约束，并制定相应的奖惩措施。投标人需按照采购人提出的运维需求，为本项目提供的健全的管理制度方案，包括日常巡检制度、故障处理管理制度、运维人员管理制度、奖惩措施等。</w:t>
      </w:r>
      <w:r/>
    </w:p>
    <w:p>
      <w:pPr>
        <w:ind w:firstLine="482"/>
        <w:spacing w:line="560" w:lineRule="exact"/>
        <w:rPr>
          <w:rFonts w:hint="eastAsia" w:ascii="宋体" w:hAnsi="宋体" w:cs="宋体"/>
          <w:b/>
          <w:bCs/>
          <w:sz w:val="24"/>
        </w:rPr>
      </w:pPr>
      <w:r>
        <w:rPr>
          <w:rFonts w:hint="eastAsia" w:ascii="宋体" w:hAnsi="宋体" w:cs="宋体"/>
          <w:b/>
          <w:bCs/>
          <w:sz w:val="24"/>
        </w:rPr>
        <w:t xml:space="preserve">3、服务时效要求</w:t>
      </w:r>
      <w:r/>
    </w:p>
    <w:p>
      <w:pPr>
        <w:ind w:firstLine="420"/>
        <w:spacing w:line="360" w:lineRule="auto"/>
        <w:rPr>
          <w:rFonts w:hint="eastAsia" w:ascii="宋体" w:hAnsi="宋体" w:cs="Calibri"/>
        </w:rPr>
      </w:pPr>
      <w:r>
        <w:rPr>
          <w:rFonts w:hint="eastAsia" w:ascii="宋体" w:hAnsi="宋体" w:cs="Calibri"/>
        </w:rPr>
        <w:t xml:space="preserve">中标人提供7*24小时的技术支持和服务，法定节假日（元旦、春节、五一、十一等）期间、重大活动（由采购人指定并提前告知）前及其举行期间，中标人应根据具体要求对系统进行战时维护，确保系统在此时期的正常工作。</w:t>
      </w:r>
      <w:r/>
    </w:p>
    <w:p>
      <w:pPr>
        <w:ind w:firstLine="482"/>
        <w:spacing w:line="560" w:lineRule="exact"/>
        <w:rPr>
          <w:rFonts w:hint="eastAsia" w:ascii="宋体" w:hAnsi="宋体" w:cs="宋体"/>
          <w:b/>
          <w:bCs/>
          <w:sz w:val="24"/>
        </w:rPr>
      </w:pPr>
      <w:r>
        <w:rPr>
          <w:rFonts w:hint="eastAsia" w:ascii="宋体" w:hAnsi="宋体" w:cs="宋体"/>
          <w:b/>
          <w:bCs/>
          <w:sz w:val="24"/>
        </w:rPr>
        <w:t xml:space="preserve">4、应急预案要求</w:t>
      </w:r>
      <w:r/>
    </w:p>
    <w:p>
      <w:pPr>
        <w:ind w:firstLine="420"/>
        <w:spacing w:line="360" w:lineRule="auto"/>
        <w:rPr>
          <w:rFonts w:hint="eastAsia" w:ascii="宋体" w:hAnsi="宋体" w:cs="Calibri"/>
        </w:rPr>
      </w:pPr>
      <w:r>
        <w:rPr>
          <w:rFonts w:hint="eastAsia" w:ascii="宋体" w:hAnsi="宋体" w:cs="Calibri"/>
        </w:rPr>
        <w:t xml:space="preserve">（1）投标人需根据本项目的维保服务内容，为本项目提供的可行的应急预案。预案中需提供能够处理运行维护服务实施过程中可能面临的各种突发问题（如硬件故障、网络瘫痪、病毒爆发、机房断电、重大活动保障等）的应急预案。需包括且不限于以下内容：</w:t>
      </w:r>
      <w:r/>
    </w:p>
    <w:p>
      <w:pPr>
        <w:ind w:firstLine="420"/>
        <w:spacing w:line="360" w:lineRule="auto"/>
        <w:rPr>
          <w:rFonts w:hint="eastAsia" w:ascii="宋体" w:hAnsi="宋体" w:cs="Calibri"/>
        </w:rPr>
      </w:pPr>
      <w:r>
        <w:rPr>
          <w:rFonts w:hint="eastAsia" w:ascii="宋体" w:hAnsi="宋体" w:cs="Calibri"/>
        </w:rPr>
        <w:t xml:space="preserve">1）硬件故障发生后的主机、存储、操作系统、数据库等的恢复措施；</w:t>
      </w:r>
      <w:r/>
    </w:p>
    <w:p>
      <w:pPr>
        <w:ind w:firstLine="420"/>
        <w:spacing w:line="360" w:lineRule="auto"/>
        <w:rPr>
          <w:rFonts w:hint="eastAsia" w:ascii="宋体" w:hAnsi="宋体" w:cs="Calibri"/>
        </w:rPr>
      </w:pPr>
      <w:r>
        <w:rPr>
          <w:rFonts w:hint="eastAsia" w:ascii="宋体" w:hAnsi="宋体" w:cs="Calibri"/>
        </w:rPr>
        <w:t xml:space="preserve">2）网络瘫痪发生后软硬件的检查、分析及恢复、网络安全事件处理方案；</w:t>
      </w:r>
      <w:r/>
    </w:p>
    <w:p>
      <w:pPr>
        <w:ind w:firstLine="420"/>
        <w:spacing w:line="360" w:lineRule="auto"/>
        <w:rPr>
          <w:rFonts w:hint="eastAsia" w:ascii="宋体" w:hAnsi="宋体" w:cs="Calibri"/>
        </w:rPr>
      </w:pPr>
      <w:r>
        <w:rPr>
          <w:rFonts w:hint="eastAsia" w:ascii="宋体" w:hAnsi="宋体" w:cs="Calibri"/>
        </w:rPr>
        <w:t xml:space="preserve">3）病毒爆发的处理步骤；</w:t>
      </w:r>
      <w:r/>
    </w:p>
    <w:p>
      <w:pPr>
        <w:ind w:firstLine="420"/>
        <w:spacing w:line="360" w:lineRule="auto"/>
        <w:rPr>
          <w:rFonts w:hint="eastAsia" w:ascii="宋体" w:hAnsi="宋体" w:cs="Calibri"/>
        </w:rPr>
      </w:pPr>
      <w:r>
        <w:rPr>
          <w:rFonts w:hint="eastAsia" w:ascii="宋体" w:hAnsi="宋体" w:cs="Calibri"/>
        </w:rPr>
        <w:t xml:space="preserve">4）机房设施引起的故障，如断电、UPS故障、火灾、空调、链路中断等事故的处理方案；</w:t>
      </w:r>
      <w:r/>
    </w:p>
    <w:p>
      <w:pPr>
        <w:ind w:firstLine="420"/>
        <w:spacing w:line="360" w:lineRule="auto"/>
        <w:rPr>
          <w:rFonts w:hint="eastAsia" w:ascii="宋体" w:hAnsi="宋体" w:cs="Calibri"/>
        </w:rPr>
      </w:pPr>
      <w:r>
        <w:rPr>
          <w:rFonts w:hint="eastAsia" w:ascii="宋体" w:hAnsi="宋体" w:cs="Calibri"/>
        </w:rPr>
        <w:t xml:space="preserve">5）重大活动时的通信、资源和人员、应急处理方案；</w:t>
      </w:r>
      <w:r/>
    </w:p>
    <w:p>
      <w:pPr>
        <w:ind w:firstLine="420"/>
        <w:spacing w:line="360" w:lineRule="auto"/>
        <w:rPr>
          <w:rFonts w:hint="eastAsia" w:ascii="宋体" w:hAnsi="宋体" w:cs="Calibri"/>
        </w:rPr>
      </w:pPr>
      <w:r>
        <w:rPr>
          <w:rFonts w:hint="eastAsia" w:ascii="宋体" w:hAnsi="宋体" w:cs="Calibri"/>
        </w:rPr>
        <w:t xml:space="preserve">（2）为确保本项目在出现硬件故障后能及时恢复，投标人所有备件能充分满足本项目各类硬件设备的更换需求。</w:t>
      </w:r>
      <w:r/>
    </w:p>
    <w:p>
      <w:pPr>
        <w:ind w:firstLine="482"/>
        <w:spacing w:line="560" w:lineRule="exact"/>
        <w:rPr>
          <w:rFonts w:hint="eastAsia" w:ascii="宋体" w:hAnsi="宋体" w:cs="宋体"/>
          <w:b/>
          <w:bCs/>
          <w:sz w:val="24"/>
        </w:rPr>
      </w:pPr>
      <w:r>
        <w:rPr>
          <w:rFonts w:hint="eastAsia" w:ascii="宋体" w:hAnsi="宋体" w:cs="宋体"/>
          <w:b/>
          <w:bCs/>
          <w:sz w:val="24"/>
        </w:rPr>
        <w:t xml:space="preserve">5、培训要求</w:t>
      </w:r>
      <w:r/>
    </w:p>
    <w:p>
      <w:pPr>
        <w:ind w:firstLine="420"/>
        <w:spacing w:line="360" w:lineRule="auto"/>
        <w:rPr>
          <w:rFonts w:hint="eastAsia" w:ascii="宋体" w:hAnsi="宋体" w:cs="Calibri"/>
        </w:rPr>
      </w:pPr>
      <w:r>
        <w:rPr>
          <w:rFonts w:hint="eastAsia" w:ascii="宋体" w:hAnsi="宋体" w:cs="Calibri"/>
        </w:rPr>
        <w:t xml:space="preserve">投标人应向采购人免费提供维保设备相关的软硬件系统的现场技术培训，包括相关设备操作、系统软件部署、运行维护流程等。使采购单位系统维护人员能够掌握硬件设备及软件的安装，配置变更，日常维护等操作，胜任系统的运行、操作、维护、故障分析处理，设备维修和保养工作。方案应包含培训组织、培训时间、培训方式、培训教材、培训内容等。</w:t>
      </w:r>
      <w:r/>
    </w:p>
    <w:p>
      <w:pPr>
        <w:ind w:firstLine="420"/>
        <w:spacing w:line="360" w:lineRule="auto"/>
        <w:rPr>
          <w:rFonts w:hint="eastAsia" w:ascii="宋体" w:hAnsi="宋体" w:cs="Calibri"/>
        </w:rPr>
      </w:pPr>
      <w:r>
        <w:rPr>
          <w:rFonts w:hint="eastAsia" w:ascii="宋体" w:hAnsi="宋体" w:cs="Calibri"/>
        </w:rPr>
        <w:t xml:space="preserve">（1）培训组织：需提供具体的培训组织方案；</w:t>
      </w:r>
      <w:r/>
    </w:p>
    <w:p>
      <w:pPr>
        <w:ind w:firstLine="420"/>
        <w:spacing w:line="360" w:lineRule="auto"/>
        <w:rPr>
          <w:rFonts w:hint="eastAsia" w:ascii="宋体" w:hAnsi="宋体" w:cs="Calibri"/>
        </w:rPr>
      </w:pPr>
      <w:r>
        <w:rPr>
          <w:rFonts w:hint="eastAsia" w:ascii="宋体" w:hAnsi="宋体" w:cs="Calibri"/>
        </w:rPr>
        <w:t xml:space="preserve">（2）培训时间：培训时间不少于3天；</w:t>
      </w:r>
      <w:r/>
    </w:p>
    <w:p>
      <w:pPr>
        <w:ind w:firstLine="420"/>
        <w:spacing w:line="360" w:lineRule="auto"/>
        <w:rPr>
          <w:rFonts w:hint="eastAsia" w:ascii="宋体" w:hAnsi="宋体" w:cs="Calibri"/>
        </w:rPr>
      </w:pPr>
      <w:r>
        <w:rPr>
          <w:rFonts w:hint="eastAsia" w:ascii="宋体" w:hAnsi="宋体" w:cs="Calibri"/>
        </w:rPr>
        <w:t xml:space="preserve">（3）培训方式：需在用户现场进行，不限制参加人数；</w:t>
      </w:r>
      <w:r/>
    </w:p>
    <w:p>
      <w:pPr>
        <w:ind w:firstLine="420"/>
        <w:spacing w:line="360" w:lineRule="auto"/>
        <w:rPr>
          <w:rFonts w:hint="eastAsia" w:ascii="宋体" w:hAnsi="宋体" w:cs="Calibri"/>
        </w:rPr>
      </w:pPr>
      <w:r>
        <w:rPr>
          <w:rFonts w:hint="eastAsia" w:ascii="宋体" w:hAnsi="宋体" w:cs="Calibri"/>
        </w:rPr>
        <w:t xml:space="preserve">（4）培训内容：包括但不限于以下内容：小型机操作系统培训、数据库培训、华为云平台培训、华为大数据的培训等；</w:t>
      </w:r>
      <w:r/>
    </w:p>
    <w:p>
      <w:pPr>
        <w:ind w:firstLine="482"/>
        <w:spacing w:line="560" w:lineRule="exact"/>
        <w:rPr>
          <w:rFonts w:hint="eastAsia" w:ascii="宋体" w:hAnsi="宋体" w:cs="宋体"/>
          <w:b/>
          <w:bCs/>
          <w:sz w:val="24"/>
        </w:rPr>
      </w:pPr>
      <w:r>
        <w:rPr>
          <w:rFonts w:hint="eastAsia" w:ascii="宋体" w:hAnsi="宋体" w:cs="宋体"/>
          <w:b/>
          <w:bCs/>
          <w:sz w:val="24"/>
        </w:rPr>
        <w:t xml:space="preserve">6、项目组成员要求</w:t>
      </w:r>
      <w:r/>
    </w:p>
    <w:p>
      <w:pPr>
        <w:ind w:firstLine="480"/>
        <w:spacing w:line="560" w:lineRule="exact"/>
        <w:rPr>
          <w:rFonts w:hint="eastAsia" w:ascii="宋体" w:hAnsi="宋体" w:cs="宋体"/>
          <w:sz w:val="24"/>
        </w:rPr>
      </w:pPr>
      <w:r>
        <w:rPr>
          <w:rFonts w:hint="eastAsia" w:ascii="宋体" w:hAnsi="宋体" w:cs="Calibri"/>
        </w:rPr>
        <w:t xml:space="preserve">中标人须为本项目专门成立专业的后台技术支撑团队，为本项目提供7*24小时的远程技术支持，当驻场人手不足或力量不足时，要及时安排人员到现场协助解决问题。支撑团队的技术人员不少于5人，类似本项目的丰富工作经验，且具有相关专业认证证书。采购人认为中标人提供的技术人员不能满足工作需要的，有权要求中标人无条件更换。</w:t>
      </w:r>
      <w:r/>
    </w:p>
    <w:p>
      <w:pPr>
        <w:ind w:firstLine="482"/>
        <w:spacing w:line="560" w:lineRule="exact"/>
        <w:rPr>
          <w:rFonts w:hint="eastAsia" w:ascii="宋体" w:hAnsi="宋体" w:cs="宋体"/>
          <w:b/>
          <w:bCs/>
          <w:sz w:val="24"/>
        </w:rPr>
      </w:pPr>
      <w:r>
        <w:rPr>
          <w:rFonts w:hint="eastAsia" w:ascii="宋体" w:hAnsi="宋体" w:cs="宋体"/>
          <w:b/>
          <w:bCs/>
          <w:sz w:val="24"/>
        </w:rPr>
        <w:t xml:space="preserve">7、安全保密要求</w:t>
      </w:r>
      <w:r/>
    </w:p>
    <w:p>
      <w:pPr>
        <w:ind w:firstLine="480"/>
        <w:spacing w:line="560" w:lineRule="exact"/>
        <w:rPr>
          <w:rFonts w:hint="eastAsia" w:ascii="宋体" w:hAnsi="宋体" w:cs="Calibri"/>
        </w:rPr>
      </w:pPr>
      <w:r>
        <w:rPr>
          <w:rFonts w:hint="eastAsia" w:ascii="宋体" w:hAnsi="宋体" w:cs="Calibri"/>
        </w:rPr>
        <w:t xml:space="preserve">（1）中标人保证其公司人员在服务期间所接触的采购人各种文件，数据，系统资料，系统操作等严格遵守采购人保密制度，不得向第三方透露。</w:t>
      </w:r>
      <w:r/>
    </w:p>
    <w:p>
      <w:pPr>
        <w:ind w:firstLine="480"/>
        <w:spacing w:line="560" w:lineRule="exact"/>
        <w:rPr>
          <w:rFonts w:hint="eastAsia" w:ascii="宋体" w:hAnsi="宋体" w:cs="Calibri"/>
        </w:rPr>
      </w:pPr>
      <w:r>
        <w:rPr>
          <w:rFonts w:hint="eastAsia" w:ascii="宋体" w:hAnsi="宋体" w:cs="Calibri"/>
        </w:rPr>
        <w:t xml:space="preserve">（2）公安业务系统数据属于公安秘密，投标人应当严格遵守相关规定，严禁泄漏公安秘密，未经采购人确认，中标人的其公司人员不得对采购人业务系统作任何操作，参与项目维保人员必须做到以下几点：</w:t>
      </w:r>
      <w:r/>
    </w:p>
    <w:p>
      <w:pPr>
        <w:ind w:firstLine="480"/>
        <w:spacing w:line="560" w:lineRule="exact"/>
        <w:rPr>
          <w:rFonts w:hint="eastAsia" w:ascii="宋体" w:hAnsi="宋体" w:cs="Calibri"/>
        </w:rPr>
      </w:pPr>
      <w:r>
        <w:rPr>
          <w:rFonts w:hint="eastAsia" w:ascii="宋体" w:hAnsi="宋体" w:cs="Calibri"/>
        </w:rPr>
        <w:t xml:space="preserve">1)只在规定的区域实行规定的工作，不得进入与之无关的工作区域；</w:t>
      </w:r>
      <w:r/>
    </w:p>
    <w:p>
      <w:pPr>
        <w:ind w:firstLine="480"/>
        <w:spacing w:line="560" w:lineRule="exact"/>
        <w:rPr>
          <w:rFonts w:hint="eastAsia" w:ascii="宋体" w:hAnsi="宋体" w:cs="Calibri"/>
        </w:rPr>
      </w:pPr>
      <w:r>
        <w:rPr>
          <w:rFonts w:hint="eastAsia" w:ascii="宋体" w:hAnsi="宋体" w:cs="Calibri"/>
        </w:rPr>
        <w:t xml:space="preserve">2)不得在机房设备上建立与工作无关的网站、网页和服务；不得在设备中传输、粘贴有害信息或与工作无关的信息；</w:t>
      </w:r>
      <w:r/>
    </w:p>
    <w:p>
      <w:pPr>
        <w:ind w:firstLine="480"/>
        <w:spacing w:line="560" w:lineRule="exact"/>
        <w:rPr>
          <w:rFonts w:hint="eastAsia" w:ascii="宋体" w:hAnsi="宋体" w:cs="Calibri"/>
        </w:rPr>
      </w:pPr>
      <w:r>
        <w:rPr>
          <w:rFonts w:hint="eastAsia" w:ascii="宋体" w:hAnsi="宋体" w:cs="Calibri"/>
        </w:rPr>
        <w:t xml:space="preserve">3)不得擅自对设备进行扫描、探测和入侵信息系统；</w:t>
      </w:r>
      <w:r/>
    </w:p>
    <w:p>
      <w:pPr>
        <w:ind w:firstLine="480"/>
        <w:spacing w:line="560" w:lineRule="exact"/>
        <w:rPr>
          <w:rFonts w:hint="eastAsia" w:ascii="宋体" w:hAnsi="宋体" w:cs="Calibri"/>
        </w:rPr>
      </w:pPr>
      <w:r>
        <w:rPr>
          <w:rFonts w:hint="eastAsia" w:ascii="宋体" w:hAnsi="宋体" w:cs="Calibri"/>
        </w:rPr>
        <w:t xml:space="preserve">4)不得对工作信息和资源越权访问、违规使用；</w:t>
      </w:r>
      <w:r/>
    </w:p>
    <w:p>
      <w:pPr>
        <w:ind w:firstLine="480"/>
        <w:spacing w:line="560" w:lineRule="exact"/>
        <w:rPr>
          <w:rFonts w:hint="eastAsia" w:ascii="宋体" w:hAnsi="宋体" w:cs="Calibri"/>
        </w:rPr>
      </w:pPr>
      <w:r>
        <w:rPr>
          <w:rFonts w:hint="eastAsia" w:ascii="宋体" w:hAnsi="宋体" w:cs="Calibri"/>
        </w:rPr>
        <w:t xml:space="preserve">5)不得私自允许他人接触和使用机房设备；</w:t>
      </w:r>
      <w:r/>
    </w:p>
    <w:p>
      <w:pPr>
        <w:ind w:firstLine="480"/>
        <w:spacing w:line="560" w:lineRule="exact"/>
        <w:rPr>
          <w:rFonts w:hint="eastAsia" w:ascii="宋体" w:hAnsi="宋体" w:cs="Calibri"/>
        </w:rPr>
      </w:pPr>
      <w:r>
        <w:rPr>
          <w:rFonts w:hint="eastAsia" w:ascii="宋体" w:hAnsi="宋体" w:cs="Calibri"/>
        </w:rPr>
        <w:t xml:space="preserve">6)严禁将工作用设备和文件带离机房；</w:t>
      </w:r>
      <w:r/>
    </w:p>
    <w:p>
      <w:pPr>
        <w:ind w:firstLine="480"/>
        <w:spacing w:line="560" w:lineRule="exact"/>
        <w:rPr>
          <w:rFonts w:hint="eastAsia" w:ascii="宋体" w:hAnsi="宋体" w:cs="Calibri"/>
        </w:rPr>
      </w:pPr>
      <w:r>
        <w:rPr>
          <w:rFonts w:hint="eastAsia" w:ascii="宋体" w:hAnsi="宋体" w:cs="Calibri"/>
        </w:rPr>
        <w:t xml:space="preserve">7)未经机房管理部门同意，严禁以任何方式和介质拷贝服务器上的任何信息及项目中涉及的信息；</w:t>
      </w:r>
      <w:r/>
    </w:p>
    <w:p>
      <w:pPr>
        <w:ind w:firstLine="480"/>
        <w:spacing w:line="560" w:lineRule="exact"/>
        <w:rPr>
          <w:rFonts w:hint="eastAsia" w:ascii="宋体" w:hAnsi="宋体" w:cs="Calibri"/>
        </w:rPr>
      </w:pPr>
      <w:r>
        <w:rPr>
          <w:rFonts w:hint="eastAsia" w:ascii="宋体" w:hAnsi="宋体" w:cs="Calibri"/>
        </w:rPr>
        <w:t xml:space="preserve">8)对工作中接触到的信息做到保密；</w:t>
      </w:r>
      <w:r/>
    </w:p>
    <w:p>
      <w:pPr>
        <w:ind w:firstLine="480"/>
        <w:spacing w:line="560" w:lineRule="exact"/>
        <w:rPr>
          <w:rFonts w:hint="eastAsia" w:ascii="宋体" w:hAnsi="宋体" w:cs="Calibri"/>
        </w:rPr>
      </w:pPr>
      <w:r>
        <w:rPr>
          <w:rFonts w:hint="eastAsia" w:ascii="宋体" w:hAnsi="宋体" w:cs="Calibri"/>
        </w:rPr>
        <w:t xml:space="preserve">9)不准擅自摘抄、下载、复制、拍摄、提供、销毁或私自留存相关文件、资料（含电子文档）；严禁违反“一机两用”规定；不准在私人交往中谈论相关工作；</w:t>
      </w:r>
      <w:r/>
    </w:p>
    <w:p>
      <w:pPr>
        <w:ind w:firstLine="480"/>
        <w:spacing w:line="560" w:lineRule="exact"/>
        <w:rPr>
          <w:rFonts w:hint="eastAsia" w:ascii="宋体" w:hAnsi="宋体" w:cs="Calibri"/>
        </w:rPr>
      </w:pPr>
      <w:r>
        <w:rPr>
          <w:rFonts w:hint="eastAsia" w:ascii="宋体" w:hAnsi="宋体" w:cs="Calibri"/>
        </w:rPr>
        <w:t xml:space="preserve">10)不得有其他任何危害公安信息安全的行为。</w:t>
      </w:r>
      <w:r/>
    </w:p>
    <w:p>
      <w:pPr>
        <w:ind w:firstLine="480"/>
        <w:spacing w:line="560" w:lineRule="exact"/>
        <w:rPr>
          <w:rFonts w:hint="eastAsia" w:ascii="宋体" w:hAnsi="宋体" w:cs="Calibri"/>
        </w:rPr>
      </w:pPr>
      <w:r>
        <w:rPr>
          <w:rFonts w:hint="eastAsia" w:ascii="宋体" w:hAnsi="宋体" w:cs="Calibri"/>
        </w:rPr>
        <w:t xml:space="preserve">（3）按照各级公安机关对公安信息网络的安全要求，由中标人与采购人签定安全保密协议，落实公安网络安全及信息保密的各项规定。中标人对驻场工程师必须进行相关安全保密教育，与采购人签订保密协议，有履行保密的责任和义务。</w:t>
      </w:r>
      <w:r/>
    </w:p>
    <w:p>
      <w:pPr>
        <w:ind w:firstLine="480"/>
        <w:spacing w:line="560" w:lineRule="exact"/>
        <w:rPr>
          <w:rFonts w:hint="eastAsia" w:ascii="宋体" w:hAnsi="宋体" w:cs="Calibri"/>
        </w:rPr>
      </w:pPr>
      <w:r>
        <w:rPr>
          <w:rFonts w:hint="eastAsia" w:ascii="宋体" w:hAnsi="宋体" w:cs="Calibri"/>
        </w:rPr>
        <w:t xml:space="preserve">（4）因中标人原因导致数据泄露、数据丢失、“一机两用”等安全事故的将追究中标人责任，造成严重后果的，采购人有权取消合同并追究法律责任。</w:t>
      </w:r>
      <w:r/>
    </w:p>
    <w:p>
      <w:pPr>
        <w:ind w:firstLine="482"/>
        <w:spacing w:line="560" w:lineRule="exact"/>
        <w:rPr>
          <w:rFonts w:hint="eastAsia" w:ascii="宋体" w:hAnsi="宋体" w:cs="宋体"/>
          <w:b/>
          <w:bCs/>
          <w:sz w:val="24"/>
        </w:rPr>
      </w:pPr>
      <w:r>
        <w:rPr>
          <w:rFonts w:hint="eastAsia" w:ascii="宋体" w:hAnsi="宋体" w:cs="宋体"/>
          <w:b/>
          <w:bCs/>
          <w:sz w:val="24"/>
        </w:rPr>
        <w:t xml:space="preserve">8、考核要求</w:t>
      </w:r>
      <w:r/>
    </w:p>
    <w:p>
      <w:pPr>
        <w:ind w:firstLine="480"/>
        <w:spacing w:line="560" w:lineRule="exact"/>
        <w:rPr>
          <w:rFonts w:hint="eastAsia" w:ascii="宋体" w:hAnsi="宋体" w:cs="Calibri"/>
        </w:rPr>
      </w:pPr>
      <w:r>
        <w:rPr>
          <w:rFonts w:hint="eastAsia" w:ascii="宋体" w:hAnsi="宋体" w:cs="Calibri"/>
        </w:rPr>
        <w:t xml:space="preserve">月度服务得分连续两个月低于70分的，采购人有权终止维保服务合同。年度得分=月度得分之和/12，低于92分的，扣除年度服务金额的30%，低于70分的，扣除剩余所有服务费用。维保服务质量实行按月定量考核制度，考核打分办法如下：</w:t>
      </w:r>
      <w:r/>
    </w:p>
    <w:p>
      <w:pPr>
        <w:ind w:firstLine="480"/>
        <w:spacing w:line="560" w:lineRule="exact"/>
        <w:rPr>
          <w:rFonts w:hint="eastAsia" w:ascii="宋体" w:hAnsi="宋体" w:cs="Calibri"/>
        </w:rPr>
      </w:pPr>
      <w:r>
        <w:rPr>
          <w:rFonts w:hint="eastAsia" w:ascii="宋体" w:hAnsi="宋体" w:cs="Calibri"/>
        </w:rPr>
        <w:t xml:space="preserve">（1）故障响应时间(10分)。发生故障在非工作时间内到达现场时间不超过1小时，每迟10分钟扣1分，最多扣10分。</w:t>
      </w:r>
      <w:r/>
    </w:p>
    <w:p>
      <w:pPr>
        <w:ind w:firstLine="480"/>
        <w:spacing w:line="560" w:lineRule="exact"/>
        <w:rPr>
          <w:rFonts w:hint="eastAsia" w:ascii="宋体" w:hAnsi="宋体" w:cs="Calibri"/>
        </w:rPr>
      </w:pPr>
      <w:r>
        <w:rPr>
          <w:rFonts w:hint="eastAsia" w:ascii="宋体" w:hAnsi="宋体" w:cs="Calibri"/>
        </w:rPr>
        <w:t xml:space="preserve">（2）文档提交及时性(5分)。提供每次维修可操作的详细步骤及应急方案，每次维修当天提交,每迟1天扣0.5分，最多扣5分；每次故障后2天内提交故障报告, 每迟1天扣0.5分，最多扣5分；每次巡检后2天内提交巡检报告, 每迟1天扣0.5分，最多扣5分；每月3号提交月度服务报告, 每迟1天扣0.5分，最多扣5分；每年服务结束后1个月内提交年度服务报告, 每迟1天扣1分，最多扣5分。</w:t>
      </w:r>
      <w:r/>
    </w:p>
    <w:p>
      <w:pPr>
        <w:ind w:firstLine="480"/>
        <w:spacing w:line="560" w:lineRule="exact"/>
        <w:rPr>
          <w:rFonts w:hint="eastAsia" w:ascii="宋体" w:hAnsi="宋体" w:cs="Calibri"/>
        </w:rPr>
      </w:pPr>
      <w:r>
        <w:rPr>
          <w:rFonts w:hint="eastAsia" w:ascii="宋体" w:hAnsi="宋体" w:cs="Calibri"/>
        </w:rPr>
        <w:t xml:space="preserve">（3）业务不可用时限（30分）。业务不可用时限不超过2小时，每超过1小时扣10分，最多扣30分。</w:t>
      </w:r>
      <w:r/>
    </w:p>
    <w:p>
      <w:pPr>
        <w:ind w:firstLine="480"/>
        <w:spacing w:line="560" w:lineRule="exact"/>
        <w:rPr>
          <w:rFonts w:hint="eastAsia" w:ascii="宋体" w:hAnsi="宋体" w:cs="Calibri"/>
        </w:rPr>
      </w:pPr>
      <w:r>
        <w:rPr>
          <w:rFonts w:hint="eastAsia" w:ascii="宋体" w:hAnsi="宋体" w:cs="Calibri"/>
        </w:rPr>
        <w:t xml:space="preserve">（4）定期巡检服务(5分)。未定期进行巡检发现一次扣1分,最多扣5分。</w:t>
      </w:r>
      <w:r/>
    </w:p>
    <w:p>
      <w:pPr>
        <w:ind w:firstLine="480"/>
        <w:spacing w:line="560" w:lineRule="exact"/>
        <w:rPr>
          <w:rFonts w:hint="eastAsia" w:ascii="宋体" w:hAnsi="宋体" w:cs="Calibri"/>
        </w:rPr>
      </w:pPr>
      <w:r>
        <w:rPr>
          <w:rFonts w:hint="eastAsia" w:ascii="宋体" w:hAnsi="宋体" w:cs="Calibri"/>
        </w:rPr>
        <w:t xml:space="preserve">（5）业务恢复时限（50分）。一般故障不超过2小时，每过30分钟扣5分，最多扣50分。严重故障不超过4小时，每过1小时扣2分，最多扣50分。</w:t>
      </w:r>
      <w:r/>
    </w:p>
    <w:p>
      <w:pPr>
        <w:ind w:firstLine="480"/>
        <w:spacing w:line="560" w:lineRule="exact"/>
        <w:rPr>
          <w:rFonts w:hint="eastAsia" w:ascii="仿宋_GB2312" w:hAnsi="仿宋_GB2312" w:eastAsia="仿宋_GB2312" w:cs="仿宋_GB2312"/>
          <w:sz w:val="32"/>
          <w:szCs w:val="32"/>
        </w:rPr>
      </w:pPr>
      <w:r>
        <w:rPr>
          <w:rFonts w:hint="eastAsia" w:ascii="宋体" w:hAnsi="宋体" w:cs="Calibri"/>
        </w:rPr>
        <w:t xml:space="preserve">（6）服务质量保证及处罚。发生一次违规操作、出现一次严重误操作导致数据损失或系统故障、拒绝一次未超出服务范围的工作任务，扣除合同总价5%；中标人派驻的工程师未得到采购人认可或在未征得采购人同意的前提下中途变更运维工程师，扣除合同总价10%。</w:t>
      </w:r>
      <w:r/>
    </w:p>
    <w:p>
      <w:pPr>
        <w:pStyle w:val="719"/>
        <w:spacing w:line="360" w:lineRule="auto"/>
        <w:rPr>
          <w:rFonts w:hint="eastAsia" w:ascii="宋体" w:hAnsi="宋体"/>
        </w:rPr>
      </w:pPr>
      <w:r/>
      <w:bookmarkStart w:id="59" w:name="_Toc55204181"/>
      <w:r/>
      <w:bookmarkStart w:id="60" w:name="_Toc191970193"/>
      <w:r/>
      <w:r/>
    </w:p>
    <w:p>
      <w:pPr>
        <w:pStyle w:val="719"/>
        <w:jc w:val="center"/>
        <w:spacing w:line="360" w:lineRule="auto"/>
        <w:rPr>
          <w:rFonts w:hint="eastAsia" w:ascii="宋体" w:hAnsi="宋体"/>
        </w:rPr>
      </w:pPr>
      <w:r>
        <w:rPr>
          <w:rFonts w:hint="eastAsia" w:ascii="宋体" w:hAnsi="宋体"/>
        </w:rPr>
        <w:t xml:space="preserve">第五章 评标方法及评标标准</w:t>
      </w:r>
      <w:bookmarkEnd w:id="59"/>
      <w:r/>
      <w:bookmarkEnd w:id="60"/>
      <w:r/>
      <w:r/>
    </w:p>
    <w:p>
      <w:pPr>
        <w:pStyle w:val="913"/>
        <w:ind w:firstLine="422"/>
        <w:rPr>
          <w:rFonts w:hint="eastAsia" w:ascii="宋体" w:hAnsi="宋体"/>
          <w:b/>
          <w:sz w:val="21"/>
          <w:szCs w:val="21"/>
        </w:rPr>
      </w:pPr>
      <w:r>
        <w:rPr>
          <w:rFonts w:hint="eastAsia" w:ascii="宋体" w:hAnsi="宋体"/>
          <w:b/>
          <w:sz w:val="21"/>
          <w:szCs w:val="21"/>
        </w:rPr>
        <w:t xml:space="preserve">一、评标方法</w:t>
      </w:r>
      <w:r/>
    </w:p>
    <w:p>
      <w:pPr>
        <w:pStyle w:val="913"/>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61" w:name="_Toc449017024"/>
      <w:r/>
      <w:bookmarkStart w:id="62" w:name="_Toc449016388"/>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hint="eastAsia"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3"/>
        <w:ind w:firstLine="420"/>
        <w:spacing w:before="0" w:after="0"/>
        <w:rPr>
          <w:rFonts w:hint="eastAsia" w:ascii="宋体" w:hAnsi="宋体"/>
          <w:sz w:val="21"/>
          <w:szCs w:val="21"/>
        </w:rPr>
      </w:pPr>
      <w:r>
        <w:rPr>
          <w:rFonts w:ascii="宋体" w:hAnsi="宋体"/>
          <w:sz w:val="21"/>
          <w:szCs w:val="21"/>
        </w:rPr>
        <w:t xml:space="preserve">1、小微型企业价格扣除</w:t>
      </w:r>
      <w:r/>
    </w:p>
    <w:p>
      <w:pPr>
        <w:pStyle w:val="913"/>
        <w:ind w:firstLine="420"/>
        <w:spacing w:before="0" w:after="0"/>
        <w:rPr>
          <w:rFonts w:hint="eastAsia"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13"/>
        <w:ind w:firstLine="420"/>
        <w:spacing w:before="0" w:after="0"/>
        <w:rPr>
          <w:rFonts w:hint="eastAsia" w:ascii="宋体" w:hAnsi="宋体"/>
          <w:sz w:val="21"/>
          <w:szCs w:val="21"/>
        </w:rPr>
      </w:pPr>
      <w:r>
        <w:rPr>
          <w:rFonts w:ascii="宋体" w:hAnsi="宋体"/>
          <w:sz w:val="21"/>
          <w:szCs w:val="21"/>
        </w:rPr>
        <w:t xml:space="preserve">（2）供应商需按照采购文件的要求提供相应的《企业声明函》。</w:t>
      </w:r>
      <w:r/>
    </w:p>
    <w:p>
      <w:pPr>
        <w:pStyle w:val="913"/>
        <w:ind w:firstLine="420"/>
        <w:spacing w:before="0" w:after="0"/>
        <w:rPr>
          <w:rFonts w:hint="eastAsia" w:ascii="宋体" w:hAnsi="宋体"/>
          <w:sz w:val="21"/>
          <w:szCs w:val="21"/>
        </w:rPr>
      </w:pPr>
      <w:r>
        <w:rPr>
          <w:rFonts w:ascii="宋体" w:hAnsi="宋体"/>
          <w:sz w:val="21"/>
          <w:szCs w:val="21"/>
        </w:rPr>
        <w:t xml:space="preserve">2、残疾人福利单位价格扣除</w:t>
      </w:r>
      <w:r/>
    </w:p>
    <w:p>
      <w:pPr>
        <w:pStyle w:val="913"/>
        <w:ind w:firstLine="420"/>
        <w:spacing w:before="0" w:after="0"/>
        <w:rPr>
          <w:rFonts w:hint="eastAsia"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13"/>
        <w:ind w:firstLine="420"/>
        <w:spacing w:before="0" w:after="0"/>
        <w:rPr>
          <w:rFonts w:hint="eastAsia" w:ascii="宋体" w:hAnsi="宋体"/>
          <w:sz w:val="21"/>
          <w:szCs w:val="21"/>
        </w:rPr>
      </w:pPr>
      <w:r>
        <w:rPr>
          <w:rFonts w:ascii="宋体" w:hAnsi="宋体"/>
          <w:sz w:val="21"/>
          <w:szCs w:val="21"/>
        </w:rPr>
        <w:t xml:space="preserve">（2）残疾人福利单位需按照采购文件的要求提供《残疾人福利性单位声明函》。</w:t>
      </w:r>
      <w:r/>
    </w:p>
    <w:p>
      <w:pPr>
        <w:pStyle w:val="913"/>
        <w:ind w:firstLine="420"/>
        <w:spacing w:before="0" w:after="0"/>
        <w:rPr>
          <w:rFonts w:hint="eastAsia"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13"/>
        <w:ind w:firstLine="420"/>
        <w:spacing w:before="0" w:after="0"/>
        <w:rPr>
          <w:rFonts w:hint="eastAsia" w:ascii="宋体" w:hAnsi="宋体"/>
          <w:sz w:val="21"/>
          <w:szCs w:val="21"/>
        </w:rPr>
      </w:pPr>
      <w:r>
        <w:rPr>
          <w:rFonts w:ascii="宋体" w:hAnsi="宋体"/>
          <w:sz w:val="21"/>
          <w:szCs w:val="21"/>
        </w:rPr>
        <w:t xml:space="preserve">3、监狱和戒毒企业价格扣除</w:t>
      </w:r>
      <w:r/>
    </w:p>
    <w:p>
      <w:pPr>
        <w:pStyle w:val="913"/>
        <w:ind w:firstLine="420"/>
        <w:spacing w:before="0" w:after="0"/>
        <w:rPr>
          <w:rFonts w:hint="eastAsia"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13"/>
        <w:ind w:firstLine="420"/>
        <w:spacing w:before="0" w:after="0"/>
        <w:rPr>
          <w:rFonts w:hint="eastAsia"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3"/>
        <w:ind w:firstLine="420"/>
        <w:spacing w:before="0" w:after="0"/>
        <w:rPr>
          <w:rFonts w:hint="eastAsia"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13"/>
        <w:ind w:firstLine="420"/>
        <w:spacing w:before="0" w:after="0"/>
        <w:rPr>
          <w:rFonts w:hint="eastAsia" w:ascii="宋体" w:hAnsi="宋体"/>
          <w:sz w:val="21"/>
          <w:szCs w:val="21"/>
        </w:rPr>
      </w:pPr>
      <w:r>
        <w:rPr>
          <w:rFonts w:ascii="宋体" w:hAnsi="宋体"/>
          <w:sz w:val="21"/>
          <w:szCs w:val="21"/>
        </w:rPr>
        <w:t xml:space="preserve">4、残疾人福利单位、监狱企业属于小型、微型企业的，不重复享受政策。</w:t>
      </w:r>
      <w:r/>
    </w:p>
    <w:p>
      <w:pPr>
        <w:pStyle w:val="913"/>
        <w:ind w:firstLine="420"/>
        <w:spacing w:before="0" w:after="0"/>
        <w:rPr>
          <w:rFonts w:hint="eastAsia"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13"/>
        <w:ind w:firstLine="420"/>
        <w:spacing w:before="0" w:after="0"/>
        <w:rPr>
          <w:rFonts w:hint="eastAsia"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13"/>
        <w:ind w:firstLine="420"/>
        <w:spacing w:before="0" w:after="0"/>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13"/>
        <w:ind w:firstLine="422"/>
        <w:rPr>
          <w:rFonts w:hint="eastAsia" w:ascii="宋体" w:hAnsi="宋体"/>
          <w:b/>
          <w:sz w:val="21"/>
          <w:szCs w:val="21"/>
        </w:rPr>
        <w:outlineLvl w:val="1"/>
      </w:pPr>
      <w:r>
        <w:rPr>
          <w:rFonts w:hint="eastAsia" w:ascii="宋体" w:hAnsi="宋体"/>
          <w:b/>
          <w:sz w:val="21"/>
          <w:szCs w:val="21"/>
        </w:rPr>
        <w:t xml:space="preserve">三、评标标准</w:t>
      </w:r>
      <w:r/>
    </w:p>
    <w:tbl>
      <w:tblPr>
        <w:tblStyle w:val="729"/>
        <w:tblW w:w="936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7996"/>
      </w:tblGrid>
      <w:tr>
        <w:trPr>
          <w:cantSplit/>
          <w:trHeight w:val="29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  目</w:t>
            </w:r>
            <w:r/>
          </w:p>
        </w:tc>
        <w:tc>
          <w:tcPr>
            <w:tcBorders>
              <w:top w:val="single" w:color="auto" w:sz="4" w:space="0"/>
              <w:bottom w:val="single" w:color="auto" w:sz="4" w:space="0"/>
              <w:right w:val="single" w:color="auto" w:sz="4" w:space="0"/>
            </w:tcBorders>
            <w:tcW w:w="799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评  分  标  准</w:t>
            </w:r>
            <w:r/>
          </w:p>
        </w:tc>
      </w:tr>
      <w:tr>
        <w:trPr>
          <w:cantSplit/>
          <w:trHeight w:val="588"/>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价 格</w:t>
            </w:r>
            <w:r/>
          </w:p>
          <w:p>
            <w:pPr>
              <w:jc w:val="center"/>
              <w:spacing w:line="360" w:lineRule="auto"/>
              <w:rPr>
                <w:rFonts w:hint="eastAsia" w:ascii="宋体" w:hAnsi="宋体"/>
                <w:szCs w:val="21"/>
              </w:rPr>
            </w:pPr>
            <w:r>
              <w:rPr>
                <w:rFonts w:hint="eastAsia" w:ascii="宋体" w:hAnsi="宋体"/>
                <w:szCs w:val="21"/>
              </w:rPr>
              <w:t xml:space="preserve">（10分）</w:t>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以满足招标文件要求的最低投标报价为评标基准价，得满分10分，其他投标报价得分＝（评标基准价/其他投标报价）×10×100％。</w:t>
            </w:r>
            <w:r/>
          </w:p>
        </w:tc>
      </w:tr>
      <w:tr>
        <w:trPr>
          <w:cantSplit/>
          <w:trHeight w:val="92"/>
        </w:trPr>
        <w:tc>
          <w:tcPr>
            <w:tcBorders>
              <w:left w:val="single" w:color="auto" w:sz="4" w:space="0"/>
              <w:bottom w:val="single" w:color="auto" w:sz="4" w:space="0"/>
              <w:right w:val="single" w:color="auto" w:sz="4" w:space="0"/>
            </w:tcBorders>
            <w:tcW w:w="1370"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技术方案</w:t>
            </w:r>
            <w:r/>
          </w:p>
          <w:p>
            <w:pPr>
              <w:jc w:val="center"/>
              <w:spacing w:line="360" w:lineRule="auto"/>
              <w:rPr>
                <w:rFonts w:hint="eastAsia" w:ascii="宋体" w:hAnsi="宋体"/>
                <w:szCs w:val="21"/>
              </w:rPr>
            </w:pPr>
            <w:r>
              <w:rPr>
                <w:rFonts w:hint="eastAsia" w:ascii="宋体" w:hAnsi="宋体"/>
                <w:szCs w:val="21"/>
              </w:rPr>
              <w:t xml:space="preserve">（50分）</w:t>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1、小型机运维方案（5分）</w:t>
            </w:r>
            <w:r/>
          </w:p>
          <w:p>
            <w:pPr>
              <w:ind w:firstLine="420"/>
              <w:jc w:val="left"/>
              <w:spacing w:line="360" w:lineRule="auto"/>
              <w:rPr>
                <w:rFonts w:hint="eastAsia" w:ascii="宋体" w:hAnsi="宋体"/>
                <w:szCs w:val="21"/>
              </w:rPr>
            </w:pPr>
            <w:r>
              <w:rPr>
                <w:rFonts w:hint="eastAsia" w:ascii="宋体" w:hAnsi="宋体"/>
                <w:szCs w:val="21"/>
              </w:rPr>
              <w:t xml:space="preserve">按照运维服务内容，提供针对本项目的详尽小型机运维方案，包括小型机设备的日常运维（如状态监控、事件分析等），故障处理(如故障分析、配件更换等)，应急维护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2、网络设备运维方案（5分）</w:t>
            </w:r>
            <w:r/>
          </w:p>
          <w:p>
            <w:pPr>
              <w:ind w:firstLine="420"/>
              <w:jc w:val="left"/>
              <w:spacing w:line="360" w:lineRule="auto"/>
              <w:rPr>
                <w:rFonts w:hint="eastAsia" w:ascii="宋体" w:hAnsi="宋体"/>
                <w:szCs w:val="21"/>
              </w:rPr>
            </w:pPr>
            <w:r>
              <w:rPr>
                <w:rFonts w:hint="eastAsia" w:ascii="宋体" w:hAnsi="宋体"/>
                <w:szCs w:val="21"/>
              </w:rPr>
              <w:t xml:space="preserve">按照运维服务内容，提供针对本项目的详尽网络设备运维方案，包括网络设备的日常运维(如网络巡查、状态监控、网络配置等)，故障处理，应急维护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3、服务器运维方案（5分）</w:t>
            </w:r>
            <w:r/>
          </w:p>
          <w:p>
            <w:pPr>
              <w:ind w:firstLine="420"/>
              <w:jc w:val="left"/>
              <w:spacing w:line="360" w:lineRule="auto"/>
              <w:rPr>
                <w:rFonts w:hint="eastAsia" w:ascii="宋体" w:hAnsi="宋体"/>
                <w:szCs w:val="21"/>
              </w:rPr>
            </w:pPr>
            <w:r>
              <w:rPr>
                <w:rFonts w:hint="eastAsia" w:ascii="宋体" w:hAnsi="宋体"/>
                <w:szCs w:val="21"/>
              </w:rPr>
              <w:t xml:space="preserve">按照运维服务内容，提供针对本项目的详尽服务器运维方案，包括服务器的日常运维(运行日志分析、性能优化、安全保护等)，故障处理(故障分析、配件更换、解决故障等)，应急维护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4、数据运维方案（5分）</w:t>
            </w:r>
            <w:r/>
          </w:p>
          <w:p>
            <w:pPr>
              <w:ind w:firstLine="420"/>
              <w:jc w:val="left"/>
              <w:spacing w:line="360" w:lineRule="auto"/>
              <w:rPr>
                <w:rFonts w:hint="eastAsia" w:ascii="宋体" w:hAnsi="宋体"/>
                <w:szCs w:val="21"/>
              </w:rPr>
            </w:pPr>
            <w:r>
              <w:rPr>
                <w:rFonts w:hint="eastAsia" w:ascii="宋体" w:hAnsi="宋体"/>
                <w:szCs w:val="21"/>
              </w:rPr>
              <w:t xml:space="preserve">按照运维服务内容，提供针对本项目的详尽数据运维方案，包括数据的日常运维(数据定期备份、数据优化、数据安全等)，数据处理(数据问题的排查与识别、数据恢复)，数据专题库等内容，方案优于采购文件要求的得5分；符合采购文件要求的得3分；不符合采购文件要求或未提供的不得分。</w:t>
            </w:r>
            <w:r/>
          </w:p>
        </w:tc>
      </w:tr>
      <w:tr>
        <w:trPr>
          <w:cantSplit/>
          <w:trHeight w:val="1910"/>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5、巡检工作方案（5分）</w:t>
            </w:r>
            <w:r/>
          </w:p>
          <w:p>
            <w:pPr>
              <w:ind w:firstLine="420"/>
              <w:jc w:val="left"/>
              <w:spacing w:line="360" w:lineRule="auto"/>
              <w:rPr>
                <w:rFonts w:hint="eastAsia" w:ascii="宋体" w:hAnsi="宋体"/>
                <w:szCs w:val="21"/>
              </w:rPr>
            </w:pPr>
            <w:r>
              <w:rPr>
                <w:rFonts w:hint="eastAsia" w:ascii="宋体" w:hAnsi="宋体"/>
                <w:szCs w:val="21"/>
              </w:rPr>
              <w:t xml:space="preserve">按照服务内容，提供针对本项目的维保设备提交包括定期和非定期巡检方案、巡检日志、管理制度，巡检工作方案至少包含巡检方式、软硬件设备巡检内容、时间进度安排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6、硬件故障维修与更换方案（5分）</w:t>
            </w:r>
            <w:r/>
          </w:p>
          <w:p>
            <w:pPr>
              <w:ind w:firstLine="420"/>
              <w:jc w:val="left"/>
              <w:spacing w:line="360" w:lineRule="auto"/>
              <w:rPr>
                <w:rFonts w:hint="eastAsia" w:ascii="宋体" w:hAnsi="宋体"/>
                <w:szCs w:val="21"/>
              </w:rPr>
            </w:pPr>
            <w:r>
              <w:rPr>
                <w:rFonts w:hint="eastAsia" w:ascii="宋体" w:hAnsi="宋体"/>
                <w:szCs w:val="21"/>
              </w:rPr>
              <w:t xml:space="preserve">按照服务内容，提供针对本项目的硬件故障维修与更换工作流程，至少包含故障预案、故障维修内容、设备易发生故障的部件的更换方法、故障处理时间进度安排、安全注意事项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7、软件故障处置和恢复（5分）</w:t>
            </w:r>
            <w:r/>
          </w:p>
          <w:p>
            <w:pPr>
              <w:ind w:firstLine="420"/>
              <w:jc w:val="left"/>
              <w:spacing w:line="360" w:lineRule="auto"/>
              <w:rPr>
                <w:rFonts w:hint="eastAsia" w:ascii="宋体" w:hAnsi="宋体"/>
                <w:szCs w:val="21"/>
              </w:rPr>
            </w:pPr>
            <w:r>
              <w:rPr>
                <w:rFonts w:hint="eastAsia" w:ascii="宋体" w:hAnsi="宋体"/>
                <w:szCs w:val="21"/>
              </w:rPr>
              <w:t xml:space="preserve">按照服务内容，提供针对本项目的软件故障处置和恢复方案，至少包含故障预案、故障的处理方式、故障处理时间进度安排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8、驻场服务管理方案（5分）</w:t>
            </w:r>
            <w:r/>
          </w:p>
          <w:p>
            <w:pPr>
              <w:ind w:firstLine="420"/>
              <w:jc w:val="left"/>
              <w:spacing w:line="360" w:lineRule="auto"/>
              <w:rPr>
                <w:rFonts w:hint="eastAsia" w:ascii="宋体" w:hAnsi="宋体"/>
                <w:szCs w:val="21"/>
              </w:rPr>
            </w:pPr>
            <w:r>
              <w:rPr>
                <w:rFonts w:hint="eastAsia" w:ascii="宋体" w:hAnsi="宋体"/>
                <w:szCs w:val="21"/>
              </w:rPr>
              <w:t xml:space="preserve">按照服务内容，提供针对本项目的驻场人员管理制度方案，包括日常巡检制度、故障处理管理制度、运维人员管理制度、奖惩措施等内容，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9、应急预案（5分）</w:t>
            </w:r>
            <w:r/>
          </w:p>
          <w:p>
            <w:pPr>
              <w:ind w:firstLine="420"/>
              <w:jc w:val="left"/>
              <w:spacing w:line="360" w:lineRule="auto"/>
              <w:rPr>
                <w:rFonts w:hint="eastAsia" w:ascii="宋体" w:hAnsi="宋体"/>
                <w:szCs w:val="21"/>
              </w:rPr>
            </w:pPr>
            <w:r>
              <w:rPr>
                <w:rFonts w:hint="eastAsia" w:ascii="宋体" w:hAnsi="宋体"/>
                <w:szCs w:val="21"/>
              </w:rPr>
              <w:t xml:space="preserve">按照服务内容，提供针对突发事件或者特殊时段（深夜或者节假日）的应急预案，包括硬件故障、网络瘫痪、病毒爆发、机房断电、重大活动保障等，方案优于采购文件要求的得5分；符合采购文件要求的得3分；不符合采购文件要求或未提供的不得分。</w:t>
            </w:r>
            <w:r/>
          </w:p>
        </w:tc>
      </w:tr>
      <w:tr>
        <w:trPr>
          <w:cantSplit/>
          <w:trHeight w:val="92"/>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10、培训方案（5分）</w:t>
            </w:r>
            <w:r/>
          </w:p>
          <w:p>
            <w:pPr>
              <w:ind w:firstLine="420"/>
              <w:jc w:val="left"/>
              <w:spacing w:line="360" w:lineRule="auto"/>
              <w:rPr>
                <w:rFonts w:hint="eastAsia" w:ascii="宋体" w:hAnsi="宋体"/>
                <w:szCs w:val="21"/>
              </w:rPr>
            </w:pPr>
            <w:r>
              <w:rPr>
                <w:rFonts w:hint="eastAsia" w:ascii="宋体" w:hAnsi="宋体"/>
                <w:szCs w:val="21"/>
              </w:rPr>
              <w:t xml:space="preserve">按照运维的产品清单，提供维保设备相关的软硬件系统的培训方案，方案含培训组织、培训时间、培训方式、培训内容、培训评估等，方案优于采购文件要求的得5分；符合采购文件要求的得3分；不符合采购文件要求或未提供的不得分。</w:t>
            </w:r>
            <w:r/>
          </w:p>
        </w:tc>
      </w:tr>
      <w:tr>
        <w:trPr>
          <w:cantSplit/>
          <w:trHeight w:val="148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企业资质（7分）</w:t>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1、投标人具有有效期内的ISO27001信息安全管理体系认证证书得1分；</w:t>
            </w:r>
            <w:r/>
          </w:p>
          <w:p>
            <w:pPr>
              <w:ind w:firstLine="420"/>
              <w:jc w:val="left"/>
              <w:spacing w:line="360" w:lineRule="auto"/>
              <w:rPr>
                <w:rFonts w:hint="eastAsia" w:ascii="宋体" w:hAnsi="宋体"/>
                <w:szCs w:val="21"/>
              </w:rPr>
            </w:pPr>
            <w:r>
              <w:rPr>
                <w:rFonts w:hint="eastAsia" w:ascii="宋体" w:hAnsi="宋体"/>
                <w:szCs w:val="21"/>
              </w:rPr>
              <w:t xml:space="preserve">2、投标人具有有效期内的ISO20000 信息技术服务管理体系证书得1分；</w:t>
            </w:r>
            <w:r/>
          </w:p>
          <w:p>
            <w:pPr>
              <w:ind w:firstLine="420"/>
              <w:jc w:val="left"/>
              <w:spacing w:line="360" w:lineRule="auto"/>
              <w:rPr>
                <w:rFonts w:hint="eastAsia" w:ascii="宋体" w:hAnsi="宋体"/>
                <w:szCs w:val="21"/>
              </w:rPr>
            </w:pPr>
            <w:r>
              <w:rPr>
                <w:rFonts w:hint="eastAsia" w:ascii="宋体" w:hAnsi="宋体"/>
                <w:szCs w:val="21"/>
              </w:rPr>
              <w:t xml:space="preserve">3、投标人具有有效期内的信息技术服务标准（ITSS)运维能力成熟度一级及以上的得3分；</w:t>
            </w:r>
            <w:r/>
          </w:p>
          <w:p>
            <w:pPr>
              <w:ind w:firstLine="420"/>
              <w:jc w:val="left"/>
              <w:spacing w:line="360" w:lineRule="auto"/>
              <w:rPr>
                <w:rFonts w:hint="eastAsia" w:ascii="宋体" w:hAnsi="宋体"/>
                <w:szCs w:val="21"/>
              </w:rPr>
            </w:pPr>
            <w:r>
              <w:rPr>
                <w:rFonts w:hint="eastAsia" w:ascii="宋体" w:hAnsi="宋体"/>
                <w:szCs w:val="21"/>
              </w:rPr>
              <w:t xml:space="preserve">4、投标人具有有效期内的CCRC信息系统安全运维服务信息安全服务二级及以上的得2分；</w:t>
            </w:r>
            <w:r/>
          </w:p>
        </w:tc>
      </w:tr>
      <w:tr>
        <w:trPr>
          <w:cantSplit/>
          <w:trHeight w:val="530"/>
        </w:trPr>
        <w:tc>
          <w:tcPr>
            <w:tcBorders>
              <w:left w:val="single" w:color="auto" w:sz="4" w:space="0"/>
              <w:bottom w:val="single" w:color="auto" w:sz="4" w:space="0"/>
              <w:right w:val="single" w:color="auto" w:sz="4" w:space="0"/>
            </w:tcBorders>
            <w:tcW w:w="1370"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项目组成员资质</w:t>
            </w:r>
            <w:r/>
          </w:p>
          <w:p>
            <w:pPr>
              <w:jc w:val="center"/>
              <w:spacing w:line="360" w:lineRule="auto"/>
              <w:rPr>
                <w:rFonts w:hint="eastAsia" w:ascii="宋体" w:hAnsi="宋体"/>
                <w:szCs w:val="21"/>
              </w:rPr>
            </w:pPr>
            <w:r>
              <w:rPr>
                <w:rFonts w:hint="eastAsia" w:ascii="宋体" w:hAnsi="宋体"/>
                <w:szCs w:val="21"/>
              </w:rPr>
              <w:t xml:space="preserve">（18分）</w:t>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投标人拟投入本项目的技术支撑团队具备下列证书： </w:t>
            </w:r>
            <w:r/>
          </w:p>
          <w:p>
            <w:pPr>
              <w:ind w:firstLine="420"/>
              <w:jc w:val="left"/>
              <w:spacing w:line="360" w:lineRule="auto"/>
              <w:rPr>
                <w:rFonts w:hint="eastAsia" w:ascii="宋体" w:hAnsi="宋体"/>
                <w:szCs w:val="21"/>
              </w:rPr>
            </w:pPr>
            <w:r>
              <w:rPr>
                <w:rFonts w:hint="eastAsia" w:ascii="宋体" w:hAnsi="宋体"/>
                <w:szCs w:val="21"/>
              </w:rPr>
              <w:t xml:space="preserve">1、网络工程师</w:t>
            </w:r>
            <w:r/>
          </w:p>
          <w:p>
            <w:pPr>
              <w:ind w:firstLine="420"/>
              <w:jc w:val="left"/>
              <w:spacing w:line="360" w:lineRule="auto"/>
              <w:rPr>
                <w:rFonts w:hint="eastAsia" w:ascii="宋体" w:hAnsi="宋体"/>
                <w:szCs w:val="21"/>
              </w:rPr>
            </w:pPr>
            <w:r>
              <w:rPr>
                <w:rFonts w:hint="eastAsia" w:ascii="宋体" w:hAnsi="宋体"/>
                <w:szCs w:val="21"/>
              </w:rPr>
              <w:t xml:space="preserve">2、信息安全保障人员认证证书（CISAW）-安全运维（专业级）</w:t>
            </w:r>
            <w:r/>
          </w:p>
          <w:p>
            <w:pPr>
              <w:ind w:firstLine="420"/>
              <w:jc w:val="left"/>
              <w:spacing w:line="360" w:lineRule="auto"/>
              <w:rPr>
                <w:rFonts w:hint="eastAsia" w:ascii="宋体" w:hAnsi="宋体"/>
                <w:szCs w:val="21"/>
              </w:rPr>
            </w:pPr>
            <w:r>
              <w:rPr>
                <w:rFonts w:hint="eastAsia" w:ascii="宋体" w:hAnsi="宋体"/>
                <w:szCs w:val="21"/>
              </w:rPr>
              <w:t xml:space="preserve">3、高级IT 运维工程师证书</w:t>
            </w:r>
            <w:r/>
          </w:p>
          <w:p>
            <w:pPr>
              <w:ind w:firstLine="420"/>
              <w:jc w:val="left"/>
              <w:spacing w:line="360" w:lineRule="auto"/>
              <w:rPr>
                <w:rFonts w:hint="eastAsia" w:ascii="宋体" w:hAnsi="宋体"/>
                <w:szCs w:val="21"/>
              </w:rPr>
            </w:pPr>
            <w:r>
              <w:rPr>
                <w:rFonts w:hint="eastAsia" w:ascii="宋体" w:hAnsi="宋体"/>
                <w:szCs w:val="21"/>
              </w:rPr>
              <w:t xml:space="preserve">4、H3C-SE认证资格证书</w:t>
            </w:r>
            <w:r/>
          </w:p>
          <w:p>
            <w:pPr>
              <w:ind w:firstLine="420"/>
              <w:jc w:val="left"/>
              <w:spacing w:line="360" w:lineRule="auto"/>
              <w:rPr>
                <w:rFonts w:hint="eastAsia" w:ascii="宋体" w:hAnsi="宋体"/>
                <w:szCs w:val="21"/>
              </w:rPr>
            </w:pPr>
            <w:r>
              <w:rPr>
                <w:rFonts w:hint="eastAsia" w:ascii="宋体" w:hAnsi="宋体"/>
                <w:szCs w:val="21"/>
              </w:rPr>
              <w:t xml:space="preserve">投标人提供上述证书或提供高于上述同类型证书的，每提供一项得3分，满分 12分。</w:t>
            </w:r>
            <w:r/>
          </w:p>
          <w:p>
            <w:pPr>
              <w:ind w:firstLine="420"/>
              <w:jc w:val="left"/>
              <w:spacing w:line="360" w:lineRule="auto"/>
              <w:rPr>
                <w:rFonts w:hint="eastAsia" w:ascii="宋体" w:hAnsi="宋体"/>
                <w:szCs w:val="21"/>
              </w:rPr>
            </w:pPr>
            <w:r>
              <w:rPr>
                <w:rFonts w:hint="eastAsia" w:ascii="宋体" w:hAnsi="宋体"/>
                <w:szCs w:val="21"/>
              </w:rPr>
              <w:t xml:space="preserve">（提供有效期内证书，原件扫描上传；同时提供投标人近三个月内任意一个月为其缴纳社保的证明，原件扫描上传）。</w:t>
            </w:r>
            <w:r/>
          </w:p>
        </w:tc>
      </w:tr>
      <w:tr>
        <w:trPr>
          <w:cantSplit/>
          <w:trHeight w:val="2046"/>
        </w:trPr>
        <w:tc>
          <w:tcPr>
            <w:tcBorders>
              <w:left w:val="single" w:color="auto" w:sz="4" w:space="0"/>
              <w:bottom w:val="single" w:color="auto" w:sz="4" w:space="0"/>
              <w:right w:val="single" w:color="auto" w:sz="4" w:space="0"/>
            </w:tcBorders>
            <w:tcW w:w="1370" w:type="dxa"/>
            <w:vAlign w:val="center"/>
            <w:vMerge w:val="continue"/>
            <w:textDirection w:val="lrTb"/>
            <w:noWrap w:val="false"/>
          </w:tcPr>
          <w:p>
            <w:pPr>
              <w:ind w:firstLine="420"/>
              <w:jc w:val="left"/>
              <w:spacing w:line="360" w:lineRule="auto"/>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投标人拟投入本项目的项目负责人具备：</w:t>
            </w:r>
            <w:r/>
          </w:p>
          <w:p>
            <w:pPr>
              <w:ind w:firstLine="420"/>
              <w:jc w:val="left"/>
              <w:spacing w:line="360" w:lineRule="auto"/>
              <w:rPr>
                <w:rFonts w:hint="eastAsia" w:ascii="宋体" w:hAnsi="宋体"/>
                <w:szCs w:val="21"/>
              </w:rPr>
            </w:pPr>
            <w:r>
              <w:rPr>
                <w:rFonts w:hint="eastAsia" w:ascii="宋体" w:hAnsi="宋体"/>
                <w:szCs w:val="21"/>
              </w:rPr>
              <w:t xml:space="preserve">信息系统项目管理师、系统规划与管理师、注册信息安全专业人员（CISP），有一个证书得2分，满分6分（须提供有效期内证书，原件扫描上传；同时提供投标人近三个月内任意一个月为其缴纳社保的证明，原件扫描上传）。</w:t>
            </w:r>
            <w:r/>
          </w:p>
        </w:tc>
      </w:tr>
      <w:tr>
        <w:trPr>
          <w:cantSplit/>
          <w:trHeight w:val="997"/>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项目案例</w:t>
            </w:r>
            <w:r/>
          </w:p>
          <w:p>
            <w:pPr>
              <w:jc w:val="center"/>
              <w:spacing w:line="360" w:lineRule="auto"/>
              <w:rPr>
                <w:rFonts w:hint="eastAsia" w:ascii="宋体" w:hAnsi="宋体"/>
                <w:szCs w:val="21"/>
              </w:rPr>
            </w:pPr>
            <w:r>
              <w:rPr>
                <w:rFonts w:hint="eastAsia" w:ascii="宋体" w:hAnsi="宋体"/>
                <w:szCs w:val="21"/>
              </w:rPr>
              <w:t xml:space="preserve">（15分）</w:t>
            </w:r>
            <w:r/>
          </w:p>
        </w:tc>
        <w:tc>
          <w:tcPr>
            <w:tcBorders>
              <w:top w:val="single" w:color="auto" w:sz="4" w:space="0"/>
              <w:bottom w:val="single" w:color="auto" w:sz="4" w:space="0"/>
              <w:right w:val="single" w:color="auto" w:sz="4" w:space="0"/>
            </w:tcBorders>
            <w:tcW w:w="7996"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投标人提供2022年1月1日以来与本项目类似业绩，每提供1份得3分，满分15分。(须提供合同等能够充分证明上述服务内容的业绩材料，原件扫描上传)</w:t>
            </w:r>
            <w:r/>
          </w:p>
        </w:tc>
      </w:tr>
    </w:tbl>
    <w:p>
      <w:pPr>
        <w:ind w:firstLine="420"/>
        <w:spacing w:line="360" w:lineRule="auto"/>
        <w:rPr>
          <w:rFonts w:hint="eastAsia" w:ascii="宋体" w:hAnsi="宋体" w:cs="宋体"/>
          <w:szCs w:val="21"/>
        </w:rPr>
      </w:pPr>
      <w:r>
        <w:rPr>
          <w:rFonts w:hint="eastAsia" w:ascii="宋体" w:hAnsi="宋体" w:cs="宋体"/>
          <w:szCs w:val="21"/>
        </w:rPr>
        <w:t xml:space="preserve">注：本次采购执行江苏省财政厅《关于推动解决政府采购异常低价问题相关工作的通知》（苏财购〔2025〕62号）的文件要求。</w:t>
      </w:r>
      <w:r/>
    </w:p>
    <w:p>
      <w:pPr>
        <w:spacing w:line="360" w:lineRule="auto"/>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spacing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1.投标（响应）报价低于采购项目预算50%的，即投标（响应）报价〈采购项目预算 ×50%；</w:t>
      </w:r>
      <w:r/>
    </w:p>
    <w:p>
      <w:pPr>
        <w:spacing w:line="360" w:lineRule="auto"/>
        <w:rPr>
          <w:rFonts w:hint="eastAsia" w:ascii="宋体" w:hAnsi="宋体" w:cs="宋体"/>
          <w:szCs w:val="21"/>
        </w:rPr>
      </w:pPr>
      <w:r>
        <w:rPr>
          <w:rFonts w:hint="eastAsia" w:ascii="宋体" w:hAnsi="宋体" w:cs="宋体"/>
          <w:szCs w:val="21"/>
        </w:rPr>
        <w:t xml:space="preserve">2.投标（响应）报价低于采购项目最高限价45% 的，即投标（响应）报价〈采购项目最高限价 ×45%；</w:t>
      </w:r>
      <w:r/>
    </w:p>
    <w:p>
      <w:pPr>
        <w:spacing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pPr>
      <w:r/>
      <w:r/>
    </w:p>
    <w:p>
      <w:pPr>
        <w:spacing w:line="360" w:lineRule="auto"/>
        <w:rPr>
          <w:rFonts w:ascii="黑体" w:eastAsia="黑体"/>
          <w:bCs/>
          <w:sz w:val="44"/>
        </w:rPr>
      </w:pPr>
      <w:r>
        <w:rPr>
          <w:rFonts w:ascii="黑体" w:eastAsia="黑体"/>
          <w:bCs/>
          <w:sz w:val="44"/>
        </w:rPr>
      </w:r>
      <w:r/>
    </w:p>
    <w:p>
      <w:pPr>
        <w:pStyle w:val="719"/>
        <w:jc w:val="center"/>
        <w:spacing w:line="360" w:lineRule="auto"/>
        <w:rPr>
          <w:rFonts w:hint="eastAsia" w:ascii="宋体" w:hAnsi="宋体"/>
        </w:rPr>
      </w:pPr>
      <w:r>
        <w:rPr>
          <w:rFonts w:hint="eastAsia" w:ascii="宋体" w:hAnsi="宋体"/>
        </w:rPr>
        <w:t xml:space="preserve"> </w:t>
      </w:r>
      <w:bookmarkStart w:id="63" w:name="_Toc191970194"/>
      <w:r>
        <w:rPr>
          <w:rFonts w:hint="eastAsia" w:ascii="宋体" w:hAnsi="宋体"/>
        </w:rPr>
        <w:t xml:space="preserve">第六章 投标文件格式</w:t>
      </w:r>
      <w:bookmarkEnd w:id="63"/>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hint="eastAsia" w:ascii="宋体" w:hAnsi="宋体"/>
          <w:b/>
          <w:sz w:val="72"/>
        </w:rPr>
      </w:pPr>
      <w:r>
        <w:rPr>
          <w:rFonts w:hint="eastAsia" w:ascii="宋体" w:hAnsi="宋体"/>
          <w:b/>
          <w:sz w:val="72"/>
        </w:rPr>
        <w:t xml:space="preserve">投  标  文  件</w:t>
      </w:r>
      <w:r/>
    </w:p>
    <w:p>
      <w:pPr>
        <w:spacing w:line="360" w:lineRule="auto"/>
        <w:rPr>
          <w:rFonts w:hint="eastAsia" w:ascii="宋体" w:hAnsi="宋体"/>
          <w:b/>
          <w:sz w:val="36"/>
        </w:rPr>
      </w:pPr>
      <w:r>
        <w:rPr>
          <w:rFonts w:hint="eastAsia" w:ascii="宋体" w:hAnsi="宋体"/>
          <w:b/>
          <w:sz w:val="36"/>
        </w:rPr>
      </w:r>
      <w:r/>
    </w:p>
    <w:p>
      <w:pPr>
        <w:pStyle w:val="747"/>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pStyle w:val="747"/>
        <w:rPr>
          <w:rFonts w:hint="eastAsia" w:ascii="宋体" w:hAnsi="宋体"/>
          <w:b/>
          <w:sz w:val="36"/>
        </w:rPr>
      </w:pPr>
      <w:r>
        <w:rPr>
          <w:rFonts w:hint="eastAsia" w:ascii="宋体" w:hAnsi="宋体"/>
          <w:b/>
          <w:sz w:val="36"/>
        </w:rPr>
      </w:r>
      <w:r/>
    </w:p>
    <w:p>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bCs/>
          <w:sz w:val="32"/>
          <w:szCs w:val="32"/>
        </w:rPr>
      </w:pPr>
      <w:r>
        <w:rPr>
          <w:rFonts w:hint="eastAsia" w:ascii="宋体" w:hAnsi="宋体"/>
          <w:b/>
          <w:bCs/>
          <w:sz w:val="32"/>
          <w:szCs w:val="32"/>
        </w:rPr>
      </w:r>
      <w:r/>
    </w:p>
    <w:p>
      <w:pPr>
        <w:pStyle w:val="747"/>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47"/>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47"/>
      </w:pPr>
      <w:r/>
      <w:r/>
    </w:p>
    <w:p>
      <w:pPr>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五、投标配置与分项报价表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pStyle w:val="720"/>
        <w:jc w:val="both"/>
        <w:spacing w:line="360" w:lineRule="auto"/>
        <w:rPr>
          <w:rFonts w:hint="eastAsia" w:ascii="宋体" w:hAnsi="宋体"/>
          <w:sz w:val="32"/>
          <w:szCs w:val="32"/>
        </w:rPr>
      </w:pPr>
      <w:r>
        <w:rPr>
          <w:rFonts w:hint="eastAsia" w:ascii="宋体" w:hAnsi="宋体"/>
          <w:sz w:val="32"/>
          <w:szCs w:val="32"/>
        </w:rPr>
        <w:br w:type="page" w:clear="all"/>
      </w:r>
      <w:bookmarkStart w:id="64" w:name="_Toc191970195"/>
      <w:r/>
      <w:r/>
    </w:p>
    <w:p>
      <w:pPr>
        <w:pStyle w:val="720"/>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20"/>
        <w:spacing w:line="360" w:lineRule="auto"/>
        <w:rPr>
          <w:rFonts w:asciiTheme="minorEastAsia" w:hAnsiTheme="minorEastAsia" w:eastAsiaTheme="minorEastAsia"/>
          <w:b w:val="0"/>
          <w:sz w:val="32"/>
          <w:szCs w:val="32"/>
        </w:rPr>
      </w:pPr>
      <w:r>
        <w:rPr>
          <w:rFonts w:hint="eastAsia" w:asciiTheme="minorEastAsia" w:hAnsiTheme="minorEastAsia" w:eastAsiaTheme="minorEastAsia"/>
          <w:sz w:val="32"/>
        </w:rPr>
        <w:t xml:space="preserve">一、资格审查响应对照表</w:t>
      </w:r>
      <w:bookmarkEnd w:id="64"/>
      <w:r/>
      <w:r/>
    </w:p>
    <w:tbl>
      <w:tblPr>
        <w:tblStyle w:val="72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法人或者其他组织的营业执照等证明文件，自然人的身份证明</w:t>
            </w:r>
            <w:r/>
          </w:p>
        </w:tc>
        <w:tc>
          <w:tcPr>
            <w:tcW w:w="215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上一年度的财务状况报告（成立不满一年无需提供）</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 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jc w:val="left"/>
              <w:spacing w:line="360" w:lineRule="auto"/>
            </w:pPr>
            <w:r>
              <w:rPr>
                <w:rFonts w:hint="eastAsia"/>
              </w:rPr>
              <w:t xml:space="preserve">无</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440" w:lineRule="exact"/>
              <w:rPr>
                <w:rFonts w:hint="eastAsia" w:ascii="宋体" w:hAnsi="宋体"/>
                <w:iCs/>
                <w:szCs w:val="21"/>
              </w:rPr>
            </w:pPr>
            <w:r>
              <w:rPr>
                <w:rFonts w:hint="eastAsia" w:ascii="宋体" w:hAnsi="宋体"/>
                <w:iCs/>
                <w:szCs w:val="21"/>
              </w:rPr>
              <w:t xml:space="preserve">无</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b/>
          <w:bCs/>
        </w:rPr>
      </w:pPr>
      <w:r>
        <w:rPr>
          <w:rFonts w:hint="eastAsia" w:ascii="宋体" w:hAnsi="宋体"/>
          <w:szCs w:val="21"/>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投标函格式</w:t>
      </w:r>
      <w:r/>
    </w:p>
    <w:p>
      <w:pPr>
        <w:pStyle w:val="913"/>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913"/>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13"/>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13"/>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913"/>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13"/>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13"/>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13"/>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13"/>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13"/>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913"/>
        <w:ind w:firstLine="479"/>
        <w:spacing w:before="0" w:after="0"/>
        <w:rPr>
          <w:rFonts w:hint="eastAsia" w:ascii="宋体" w:hAnsi="宋体"/>
          <w:sz w:val="21"/>
          <w:szCs w:val="21"/>
        </w:rPr>
      </w:pPr>
      <w:r>
        <w:rPr>
          <w:rFonts w:hint="eastAsia" w:ascii="宋体" w:hAnsi="宋体"/>
          <w:sz w:val="21"/>
          <w:szCs w:val="21"/>
        </w:rPr>
        <w:t xml:space="preserve">地 址：</w:t>
      </w:r>
      <w:r/>
    </w:p>
    <w:p>
      <w:pPr>
        <w:pStyle w:val="913"/>
        <w:ind w:firstLine="479"/>
        <w:spacing w:before="0" w:after="0"/>
        <w:rPr>
          <w:rFonts w:hint="eastAsia" w:ascii="宋体" w:hAnsi="宋体"/>
          <w:sz w:val="21"/>
          <w:szCs w:val="21"/>
        </w:rPr>
      </w:pPr>
      <w:r>
        <w:rPr>
          <w:rFonts w:hint="eastAsia" w:ascii="宋体" w:hAnsi="宋体"/>
          <w:sz w:val="21"/>
          <w:szCs w:val="21"/>
        </w:rPr>
        <w:t xml:space="preserve">邮 编：</w:t>
      </w:r>
      <w:r/>
    </w:p>
    <w:p>
      <w:pPr>
        <w:pStyle w:val="913"/>
        <w:ind w:firstLine="479"/>
        <w:spacing w:before="0" w:after="0"/>
        <w:rPr>
          <w:rFonts w:hint="eastAsia" w:ascii="宋体" w:hAnsi="宋体"/>
          <w:sz w:val="21"/>
          <w:szCs w:val="21"/>
        </w:rPr>
      </w:pPr>
      <w:r>
        <w:rPr>
          <w:rFonts w:hint="eastAsia" w:ascii="宋体" w:hAnsi="宋体"/>
          <w:sz w:val="21"/>
          <w:szCs w:val="21"/>
        </w:rPr>
        <w:t xml:space="preserve">电 话： </w:t>
      </w:r>
      <w:r/>
    </w:p>
    <w:p>
      <w:pPr>
        <w:pStyle w:val="913"/>
        <w:ind w:firstLine="479"/>
        <w:spacing w:before="0" w:after="0"/>
        <w:rPr>
          <w:rFonts w:hint="eastAsia" w:ascii="宋体" w:hAnsi="宋体"/>
          <w:sz w:val="21"/>
          <w:szCs w:val="21"/>
        </w:rPr>
      </w:pPr>
      <w:r>
        <w:rPr>
          <w:rFonts w:hint="eastAsia" w:ascii="宋体" w:hAnsi="宋体"/>
          <w:sz w:val="21"/>
          <w:szCs w:val="21"/>
        </w:rPr>
        <w:t xml:space="preserve">传 真： </w:t>
      </w:r>
      <w:r/>
    </w:p>
    <w:p>
      <w:pPr>
        <w:pStyle w:val="913"/>
        <w:ind w:firstLine="479"/>
        <w:spacing w:before="0" w:after="0"/>
        <w:rPr>
          <w:rFonts w:hint="eastAsia" w:ascii="宋体" w:hAnsi="宋体"/>
          <w:sz w:val="21"/>
          <w:szCs w:val="21"/>
        </w:rPr>
      </w:pPr>
      <w:r>
        <w:rPr>
          <w:rFonts w:hint="eastAsia" w:ascii="宋体" w:hAnsi="宋体"/>
          <w:sz w:val="21"/>
          <w:szCs w:val="21"/>
        </w:rPr>
        <w:t xml:space="preserve">投标人开户行：</w:t>
      </w:r>
      <w:r/>
    </w:p>
    <w:p>
      <w:pPr>
        <w:pStyle w:val="913"/>
        <w:ind w:firstLine="479"/>
        <w:spacing w:before="0" w:after="0"/>
        <w:rPr>
          <w:rFonts w:hint="eastAsia" w:ascii="宋体" w:hAnsi="宋体"/>
          <w:sz w:val="21"/>
          <w:szCs w:val="21"/>
        </w:rPr>
      </w:pPr>
      <w:r>
        <w:rPr>
          <w:rFonts w:hint="eastAsia" w:ascii="宋体" w:hAnsi="宋体"/>
          <w:sz w:val="21"/>
          <w:szCs w:val="21"/>
        </w:rPr>
        <w:t xml:space="preserve">账 户： </w:t>
      </w:r>
      <w:r/>
    </w:p>
    <w:p>
      <w:pPr>
        <w:pStyle w:val="913"/>
        <w:ind w:firstLine="479"/>
        <w:spacing w:before="0" w:after="0"/>
        <w:rPr>
          <w:rFonts w:hint="eastAsia" w:ascii="宋体" w:hAnsi="宋体"/>
          <w:sz w:val="21"/>
          <w:szCs w:val="21"/>
        </w:rPr>
      </w:pPr>
      <w:r>
        <w:rPr>
          <w:rFonts w:hint="eastAsia" w:ascii="宋体" w:hAnsi="宋体"/>
          <w:sz w:val="21"/>
          <w:szCs w:val="21"/>
        </w:rPr>
        <w:t xml:space="preserve">行 号：</w:t>
      </w:r>
      <w:r/>
    </w:p>
    <w:p>
      <w:pPr>
        <w:pStyle w:val="913"/>
        <w:ind w:firstLine="479"/>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914"/>
        <w:ind w:firstLine="422"/>
        <w:jc w:val="center"/>
        <w:spacing w:line="360" w:lineRule="auto"/>
        <w:rPr>
          <w:rFonts w:hint="eastAsia" w:ascii="宋体" w:hAnsi="宋体"/>
          <w:b/>
          <w:sz w:val="21"/>
          <w:szCs w:val="21"/>
        </w:rPr>
      </w:pPr>
      <w:r>
        <w:rPr>
          <w:rFonts w:hint="eastAsia" w:ascii="宋体" w:hAnsi="宋体"/>
          <w:b/>
          <w:sz w:val="21"/>
          <w:szCs w:val="21"/>
        </w:rPr>
      </w:r>
      <w:r/>
    </w:p>
    <w:p>
      <w:pPr>
        <w:pStyle w:val="914"/>
        <w:ind w:firstLine="422"/>
        <w:jc w:val="center"/>
        <w:spacing w:line="360" w:lineRule="auto"/>
        <w:rPr>
          <w:rFonts w:hint="eastAsia" w:ascii="宋体" w:hAnsi="宋体"/>
          <w:b/>
          <w:sz w:val="21"/>
          <w:szCs w:val="21"/>
        </w:rPr>
      </w:pPr>
      <w:r>
        <w:rPr>
          <w:rFonts w:hint="eastAsia" w:ascii="宋体" w:hAnsi="宋体"/>
          <w:b/>
          <w:sz w:val="21"/>
          <w:szCs w:val="21"/>
        </w:rPr>
      </w:r>
      <w:r/>
    </w:p>
    <w:p>
      <w:pPr>
        <w:pStyle w:val="914"/>
        <w:ind w:firstLine="422"/>
        <w:jc w:val="center"/>
        <w:spacing w:line="360" w:lineRule="auto"/>
        <w:rPr>
          <w:rFonts w:hint="eastAsia" w:ascii="宋体" w:hAnsi="宋体"/>
          <w:b/>
          <w:sz w:val="21"/>
          <w:szCs w:val="21"/>
        </w:rPr>
      </w:pPr>
      <w:r>
        <w:rPr>
          <w:rFonts w:hint="eastAsia" w:ascii="宋体" w:hAnsi="宋体"/>
          <w:b/>
          <w:sz w:val="21"/>
          <w:szCs w:val="21"/>
        </w:rPr>
      </w:r>
      <w:r/>
    </w:p>
    <w:p>
      <w:pPr>
        <w:pStyle w:val="914"/>
        <w:ind w:firstLine="422"/>
        <w:jc w:val="center"/>
        <w:spacing w:line="360" w:lineRule="auto"/>
        <w:rPr>
          <w:rFonts w:hint="eastAsia" w:ascii="宋体" w:hAnsi="宋体"/>
          <w:b/>
          <w:sz w:val="21"/>
          <w:szCs w:val="21"/>
        </w:rPr>
      </w:pPr>
      <w:r>
        <w:rPr>
          <w:rFonts w:hint="eastAsia" w:ascii="宋体" w:hAnsi="宋体"/>
          <w:b/>
          <w:sz w:val="21"/>
          <w:szCs w:val="21"/>
        </w:rPr>
        <w:t xml:space="preserve">法人授权书</w:t>
      </w:r>
      <w:r/>
    </w:p>
    <w:p>
      <w:pPr>
        <w:pStyle w:val="914"/>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14"/>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14"/>
        <w:ind w:firstLine="0"/>
        <w:spacing w:line="360" w:lineRule="auto"/>
        <w:rPr>
          <w:rFonts w:hint="eastAsia" w:ascii="宋体" w:hAnsi="宋体"/>
          <w:sz w:val="21"/>
          <w:szCs w:val="21"/>
        </w:rPr>
      </w:pPr>
      <w:r>
        <w:rPr>
          <w:rFonts w:ascii="宋体" w:hAnsi="宋体"/>
          <w:sz w:val="21"/>
          <w:szCs w:val="21"/>
        </w:rPr>
        <w:t xml:space="preserve">    </w:t>
      </w:r>
      <w:r/>
    </w:p>
    <w:p>
      <w:pPr>
        <w:pStyle w:val="914"/>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14"/>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14"/>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1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1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hint="eastAsia" w:ascii="宋体" w:hAnsi="宋体"/>
          <w:bCs/>
        </w:rPr>
      </w:pPr>
      <w:r>
        <w:rPr>
          <w:rFonts w:hint="eastAsia" w:ascii="宋体" w:hAnsi="宋体"/>
          <w:bCs/>
        </w:rPr>
      </w:r>
      <w:r/>
    </w:p>
    <w:p>
      <w:pPr>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20"/>
        <w:spacing w:line="360" w:lineRule="auto"/>
        <w:rPr>
          <w:rFonts w:asciiTheme="minorEastAsia" w:hAnsiTheme="minorEastAsia" w:eastAsiaTheme="minorEastAsia"/>
          <w:sz w:val="32"/>
        </w:rPr>
      </w:pPr>
      <w:r/>
      <w:bookmarkStart w:id="65" w:name="_Toc191970196"/>
      <w:r>
        <w:rPr>
          <w:rFonts w:hint="eastAsia" w:asciiTheme="minorEastAsia" w:hAnsiTheme="minorEastAsia" w:eastAsiaTheme="minorEastAsia"/>
          <w:sz w:val="32"/>
        </w:rPr>
        <w:t xml:space="preserve">二、符合性审查响应对照表</w:t>
      </w:r>
      <w:bookmarkEnd w:id="65"/>
      <w:r/>
      <w:r/>
    </w:p>
    <w:p>
      <w:pPr>
        <w:spacing w:line="360" w:lineRule="auto"/>
        <w:rPr>
          <w:rFonts w:hint="eastAsia" w:ascii="宋体" w:hAnsi="宋体"/>
          <w:b/>
          <w:sz w:val="32"/>
          <w:szCs w:val="32"/>
        </w:rPr>
      </w:pPr>
      <w:r>
        <w:rPr>
          <w:rFonts w:hint="eastAsia" w:ascii="宋体" w:hAnsi="宋体"/>
          <w:b/>
          <w:sz w:val="32"/>
          <w:szCs w:val="32"/>
        </w:rPr>
      </w:r>
      <w:r/>
    </w:p>
    <w:tbl>
      <w:tblPr>
        <w:tblStyle w:val="72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spacing w:line="360" w:lineRule="auto"/>
        <w:rPr>
          <w:rFonts w:hint="eastAsia" w:ascii="宋体" w:hAnsi="宋体"/>
          <w:b/>
          <w:bCs/>
          <w:sz w:val="32"/>
          <w:szCs w:val="32"/>
        </w:rPr>
      </w:pPr>
      <w:r>
        <w:rPr>
          <w:rFonts w:hint="eastAsia" w:ascii="宋体" w:hAnsi="宋体"/>
          <w:b/>
          <w:bCs/>
          <w:sz w:val="32"/>
          <w:szCs w:val="32"/>
        </w:rPr>
      </w:r>
      <w:r/>
    </w:p>
    <w:p>
      <w:pPr>
        <w:pStyle w:val="720"/>
        <w:spacing w:line="360" w:lineRule="auto"/>
        <w:rPr>
          <w:rFonts w:asciiTheme="minorEastAsia" w:hAnsiTheme="minorEastAsia" w:eastAsiaTheme="minorEastAsia"/>
          <w:sz w:val="32"/>
        </w:rPr>
      </w:pPr>
      <w:r/>
      <w:bookmarkStart w:id="66" w:name="_Toc191970197"/>
      <w:r/>
      <w:r/>
    </w:p>
    <w:p>
      <w:pPr>
        <w:pStyle w:val="720"/>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三、非实质性响应对照表</w:t>
      </w:r>
      <w:bookmarkEnd w:id="66"/>
      <w:r/>
      <w:r/>
    </w:p>
    <w:p>
      <w:pPr>
        <w:spacing w:line="360" w:lineRule="auto"/>
        <w:rPr>
          <w:rFonts w:hint="eastAsia" w:ascii="宋体" w:hAnsi="宋体"/>
          <w:b/>
          <w:sz w:val="32"/>
          <w:szCs w:val="32"/>
        </w:rPr>
      </w:pPr>
      <w:r>
        <w:rPr>
          <w:rFonts w:hint="eastAsia" w:ascii="宋体" w:hAnsi="宋体"/>
          <w:b/>
          <w:sz w:val="32"/>
          <w:szCs w:val="32"/>
        </w:rPr>
      </w:r>
      <w:r/>
    </w:p>
    <w:tbl>
      <w:tblPr>
        <w:tblStyle w:val="72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p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b/>
          <w:bCs/>
        </w:rPr>
      </w:pPr>
      <w:r>
        <w:rPr>
          <w:b/>
          <w:bCs/>
        </w:rPr>
      </w:r>
      <w:r/>
    </w:p>
    <w:p>
      <w:pPr>
        <w:jc w:val="center"/>
        <w:spacing w:before="312" w:after="312"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中小企业声明函（工程、服务）</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（软件和信息技术服务业）</w:t>
      </w:r>
      <w:r>
        <w:rPr>
          <w:rFonts w:hint="eastAsia" w:ascii="宋体" w:hAnsi="宋体"/>
          <w:b/>
          <w:bCs/>
          <w:color w:val="000000" w:themeColor="text1"/>
          <w:u w:val="single"/>
          <w14:textFill>
            <w14:solidFill>
              <w14:schemeClr w14:val="tx1"/>
            </w14:solidFill>
          </w14:textFill>
        </w:rPr>
        <w:t xml:space="preserve">（不得对行业类别修改）</w:t>
      </w:r>
      <w:r>
        <w:rPr>
          <w:rFonts w:hint="eastAsia"/>
          <w:color w:val="000000" w:themeColor="text1"/>
          <w14:textFill>
            <w14:solidFill>
              <w14:schemeClr w14:val="tx1"/>
            </w14:solidFill>
          </w14:textFill>
        </w:rPr>
        <w:t xml:space="preserve">；承建（承接）企业为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w:t>
      </w:r>
      <w:r>
        <w:fldChar w:fldCharType="begin"/>
      </w:r>
      <w:r>
        <w:instrText xml:space="preserve"> HYPERLINK \l "br1" </w:instrText>
      </w:r>
      <w:r>
        <w:fldChar w:fldCharType="separate"/>
      </w:r>
      <w:r>
        <w:rPr>
          <w:rFonts w:ascii="仿宋" w:eastAsia="Times New Roman"/>
          <w:color w:val="000000" w:themeColor="text1"/>
          <w:spacing w:val="-1"/>
          <w:vertAlign w:val="superscript"/>
          <w14:textFill>
            <w14:solidFill>
              <w14:schemeClr w14:val="tx1"/>
            </w14:solidFill>
          </w14:textFill>
        </w:rPr>
        <w:t xml:space="preserve">1</w:t>
      </w:r>
      <w:r>
        <w:rPr>
          <w:rFonts w:ascii="仿宋" w:eastAsia="Times New Roman"/>
          <w:color w:val="000000" w:themeColor="text1"/>
          <w:spacing w:val="-1"/>
          <w:vertAlign w:val="superscript"/>
          <w14:textFill>
            <w14:solidFill>
              <w14:schemeClr w14:val="tx1"/>
            </w14:solidFill>
          </w14:textFill>
        </w:rPr>
        <w:fldChar w:fldCharType="end"/>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2. </w:t>
      </w:r>
      <w:r>
        <w:rPr>
          <w:rFonts w:hint="eastAsia"/>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 ，属于</w:t>
      </w:r>
      <w:r>
        <w:rPr>
          <w:rFonts w:hint="eastAsia"/>
          <w:b/>
          <w:bCs/>
          <w:color w:val="000000" w:themeColor="text1"/>
          <w:u w:val="single"/>
          <w14:textFill>
            <w14:solidFill>
              <w14:schemeClr w14:val="tx1"/>
            </w14:solidFill>
          </w14:textFill>
        </w:rPr>
        <w:t xml:space="preserve">（软件和信息技术服务业）（不得对行业类别修改）</w:t>
      </w:r>
      <w:r>
        <w:rPr>
          <w:rFonts w:hint="eastAsia"/>
          <w:color w:val="000000" w:themeColor="text1"/>
          <w14:textFill>
            <w14:solidFill>
              <w14:schemeClr w14:val="tx1"/>
            </w14:solidFill>
          </w14:textFill>
        </w:rPr>
        <w:t xml:space="preserve">；承建（承接）企业为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注：1、</w:t>
      </w:r>
      <w:r>
        <w:rPr>
          <w:rFonts w:hint="eastAsia"/>
          <w:color w:val="000000" w:themeColor="text1"/>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2、供应商如不提供此声明函，价格将不做相应扣除。</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3、企业声明函请完整填写，中标后将公示。</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620"/>
        <w:jc w:val="left"/>
        <w:spacing w:line="360" w:lineRule="auto"/>
        <w:rPr>
          <w:rFonts w:hint="eastAsia" w:ascii="宋体" w:hAnsi="宋体" w:cs="微软雅黑"/>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日 期：</w:t>
      </w:r>
      <w:r/>
    </w:p>
    <w:p>
      <w:pPr>
        <w:pStyle w:val="931"/>
        <w:spacing w:before="300" w:after="300"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微软雅黑"/>
          <w:bCs w:val="0"/>
          <w:color w:val="000000" w:themeColor="text1"/>
          <w:sz w:val="21"/>
          <w:szCs w:val="21"/>
          <w14:textFill>
            <w14:solidFill>
              <w14:schemeClr w14:val="tx1"/>
            </w14:solidFill>
          </w14:textFill>
        </w:rPr>
        <w:t xml:space="preserve">中小微企业划型标准 </w:t>
      </w:r>
      <w:r/>
    </w:p>
    <w:p>
      <w:pPr>
        <w:pStyle w:val="933"/>
        <w:ind w:firstLine="420"/>
        <w:spacing w:before="300" w:after="452" w:line="360" w:lineRule="auto"/>
        <w:widowControl/>
        <w:rPr>
          <w:rFonts w:hint="eastAsia" w:ascii="宋体" w:hAnsi="宋体"/>
          <w:color w:val="000000" w:themeColor="text1"/>
          <w:sz w:val="21"/>
          <w:szCs w:val="21"/>
          <w14:textFill>
            <w14:solidFill>
              <w14:schemeClr w14:val="tx1"/>
            </w14:solidFill>
          </w14:textFill>
        </w:rPr>
      </w:pPr>
      <w:r>
        <w:rPr>
          <w:rFonts w:hint="eastAsia" w:ascii="宋体" w:hAnsi="宋体" w:cs="仿宋"/>
          <w:color w:val="000000" w:themeColor="text1"/>
          <w:sz w:val="21"/>
          <w:szCs w:val="21"/>
          <w14:textFill>
            <w14:solidFill>
              <w14:schemeClr w14:val="tx1"/>
            </w14:solidFill>
          </w14:textFill>
        </w:rPr>
        <w:t xml:space="preserve">    </w:t>
      </w:r>
      <w:r>
        <w:rPr>
          <w:rStyle w:val="934"/>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729"/>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33"/>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行业名称</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指标名称</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计量单位</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中型</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小型</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农、林、牧、渔</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50≤Y＜500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工业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2000≤Y＜40000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300≤Y＜2000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建筑业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6000≤Y＜80000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300≤Y＜6000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5000≤Z＜80000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300≤Z＜5000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批发业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20≤X＜200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5≤X＜20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5000≤Y＜40000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零售业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50≤X＜300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10≤X＜50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100≤Y＜500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交通运输业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3000≤Y＜30000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200≤Y＜3000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仓储业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100≤X＜200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1000≤Y＜30000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邮政业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2000≤Y＜30000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住宿业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890" w:type="dxa"/>
            <w:vAlign w:val="center"/>
            <w:textDirection w:val="lrTb"/>
            <w:noWrap w:val="false"/>
          </w:tcPr>
          <w:p>
            <w:pPr>
              <w:pStyle w:val="933"/>
              <w:ind w:firstLine="420"/>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餐饮业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信息传输业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100≤X＜2000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1000≤Y＜100000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1000≤Y＜10000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50≤Y＜1000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房地产开发经营</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1000≤Y＜200000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100≤X＜1000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5000≤Z＜10000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2000≤Y＜5000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物业管理</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500≤Y＜1000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8000≤Z＜120000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100≤Z＜8000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其他未列明行业</w:t>
            </w:r>
            <w:r/>
          </w:p>
        </w:tc>
        <w:tc>
          <w:tcPr>
            <w:tcMar>
              <w:left w:w="105" w:type="dxa"/>
              <w:top w:w="0" w:type="dxa"/>
              <w:right w:w="105" w:type="dxa"/>
              <w:bottom w:w="0" w:type="dxa"/>
            </w:tcMar>
            <w:tcW w:w="2067"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83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890"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82" w:type="dxa"/>
            <w:vAlign w:val="center"/>
            <w:textDirection w:val="lrTb"/>
            <w:noWrap w:val="false"/>
          </w:tcPr>
          <w:p>
            <w:pPr>
              <w:pStyle w:val="933"/>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X＜10</w:t>
            </w:r>
            <w:r/>
          </w:p>
        </w:tc>
      </w:tr>
    </w:tbl>
    <w:p>
      <w:pPr>
        <w:pStyle w:val="933"/>
        <w:ind w:firstLine="810"/>
        <w:spacing w:before="300" w:after="452" w:line="360" w:lineRule="auto"/>
        <w:widowControl/>
        <w:rPr>
          <w:rStyle w:val="934"/>
          <w:rFonts w:hint="eastAsia" w:ascii="宋体" w:hAnsi="宋体" w:cs="仿宋"/>
          <w:color w:val="000000" w:themeColor="text1"/>
          <w:sz w:val="21"/>
          <w:szCs w:val="21"/>
          <w14:textFill>
            <w14:solidFill>
              <w14:schemeClr w14:val="tx1"/>
            </w14:solidFill>
          </w14:textFill>
        </w:rPr>
      </w:pPr>
      <w:r>
        <w:rPr>
          <w:rStyle w:val="934"/>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1"/>
        <w:spacing w:line="360" w:lineRule="auto"/>
        <w:rPr>
          <w:rStyle w:val="758"/>
          <w:rFonts w:cs="仿宋"/>
          <w:b w:val="0"/>
          <w:sz w:val="21"/>
          <w:szCs w:val="21"/>
        </w:rPr>
      </w:pPr>
      <w:r>
        <w:rPr>
          <w:rStyle w:val="758"/>
          <w:rFonts w:ascii="宋体" w:hAnsi="宋体" w:cs="仿宋"/>
          <w:b w:val="0"/>
          <w:sz w:val="21"/>
          <w:szCs w:val="21"/>
        </w:rPr>
        <w:br w:type="page" w:clear="all"/>
      </w:r>
      <w:r/>
    </w:p>
    <w:p>
      <w:pPr>
        <w:ind w:firstLine="2726"/>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720"/>
        <w:spacing w:line="360" w:lineRule="auto"/>
        <w:rPr>
          <w:rFonts w:asciiTheme="minorEastAsia" w:hAnsiTheme="minorEastAsia" w:eastAsiaTheme="minorEastAsia"/>
          <w:sz w:val="32"/>
        </w:rPr>
      </w:pPr>
      <w:r/>
      <w:bookmarkStart w:id="67" w:name="_Toc191970198"/>
      <w:r>
        <w:rPr>
          <w:rFonts w:hint="eastAsia" w:asciiTheme="minorEastAsia" w:hAnsiTheme="minorEastAsia" w:eastAsiaTheme="minorEastAsia"/>
          <w:sz w:val="32"/>
        </w:rPr>
        <w:t xml:space="preserve">四、开标一览表</w:t>
      </w:r>
      <w:bookmarkEnd w:id="6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spacing w:line="360" w:lineRule="auto"/>
        <w:rPr>
          <w:rFonts w:hint="eastAsia" w:ascii="宋体" w:hAnsi="宋体"/>
          <w:szCs w:val="21"/>
        </w:rPr>
      </w:pPr>
      <w:r>
        <w:rPr>
          <w:rFonts w:hint="eastAsia" w:ascii="宋体" w:hAnsi="宋体"/>
          <w:szCs w:val="21"/>
        </w:rPr>
        <w:t xml:space="preserve">                       </w:t>
      </w:r>
      <w:r/>
    </w:p>
    <w:tbl>
      <w:tblPr>
        <w:tblStyle w:val="72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6"/>
              <w:spacing w:line="36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36"/>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913"/>
              <w:ind w:firstLine="0"/>
              <w:spacing w:before="0" w:after="0"/>
              <w:rPr>
                <w:rFonts w:hint="eastAsia" w:ascii="宋体" w:hAnsi="宋体" w:cs="宋体"/>
                <w:sz w:val="21"/>
                <w:szCs w:val="21"/>
              </w:rPr>
            </w:pPr>
            <w:r>
              <w:rPr>
                <w:rFonts w:hint="eastAsia" w:ascii="宋体" w:hAnsi="宋体" w:cs="宋体"/>
                <w:sz w:val="21"/>
                <w:szCs w:val="21"/>
              </w:rPr>
              <w:t xml:space="preserve">大写：         元</w:t>
            </w:r>
            <w:r/>
          </w:p>
          <w:p>
            <w:pPr>
              <w:pStyle w:val="913"/>
              <w:ind w:firstLine="0"/>
              <w:spacing w:before="0" w:after="0"/>
              <w:rPr>
                <w:rFonts w:hint="eastAsia" w:ascii="宋体" w:hAnsi="宋体" w:cs="宋体"/>
                <w:sz w:val="21"/>
                <w:szCs w:val="21"/>
              </w:rPr>
            </w:pPr>
            <w:r>
              <w:rPr>
                <w:rFonts w:hint="eastAsia" w:ascii="宋体" w:hAnsi="宋体" w:cs="宋体"/>
                <w:sz w:val="21"/>
                <w:szCs w:val="21"/>
              </w:rPr>
              <w:t xml:space="preserve">小写：         元                </w:t>
            </w:r>
            <w:r/>
          </w:p>
          <w:p>
            <w:pPr>
              <w:pStyle w:val="913"/>
              <w:ind w:firstLine="0"/>
              <w:spacing w:before="0" w:after="0"/>
              <w:rPr>
                <w:rFonts w:hint="eastAsia" w:ascii="宋体" w:hAnsi="宋体" w:cs="宋体"/>
                <w:sz w:val="21"/>
                <w:szCs w:val="21"/>
              </w:rPr>
            </w:pPr>
            <w:r>
              <w:rPr>
                <w:rFonts w:hint="eastAsia" w:ascii="宋体" w:hAnsi="宋体" w:cs="宋体"/>
                <w:sz w:val="21"/>
                <w:szCs w:val="21"/>
              </w:rPr>
              <w:t xml:space="preserve">（人民币）</w:t>
            </w:r>
            <w:r/>
          </w:p>
          <w:p>
            <w:pPr>
              <w:pStyle w:val="913"/>
              <w:ind w:firstLine="0"/>
              <w:spacing w:before="0" w:after="0"/>
              <w:rPr>
                <w:rFonts w:hint="eastAsia" w:ascii="宋体" w:hAnsi="宋体" w:cs="宋体"/>
                <w:sz w:val="21"/>
                <w:szCs w:val="21"/>
              </w:rPr>
            </w:pPr>
            <w:r>
              <w:rPr>
                <w:rFonts w:hint="eastAsia" w:ascii="宋体" w:hAnsi="宋体" w:cs="宋体"/>
                <w:sz w:val="21"/>
                <w:szCs w:val="21"/>
              </w:rPr>
            </w:r>
            <w:r/>
          </w:p>
        </w:tc>
      </w:tr>
    </w:tbl>
    <w:p>
      <w:pPr>
        <w:pStyle w:val="925"/>
        <w:spacing w:line="360" w:lineRule="auto"/>
        <w:rPr>
          <w:rFonts w:hint="eastAsia" w:hAnsi="宋体" w:eastAsia="宋体"/>
          <w:b/>
          <w:bCs/>
          <w:sz w:val="21"/>
          <w:szCs w:val="21"/>
        </w:rPr>
      </w:pPr>
      <w:r>
        <w:rPr>
          <w:rFonts w:hint="eastAsia" w:hAnsi="宋体" w:eastAsia="宋体"/>
          <w:b/>
          <w:bCs/>
          <w:sz w:val="21"/>
          <w:szCs w:val="21"/>
        </w:rPr>
      </w:r>
      <w:r/>
    </w:p>
    <w:p>
      <w:pPr>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37"/>
        <w:rPr>
          <w:rFonts w:hint="eastAsia" w:ascii="宋体" w:hAnsi="宋体"/>
          <w:szCs w:val="21"/>
        </w:rPr>
      </w:pPr>
      <w:r>
        <w:rPr>
          <w:rFonts w:hint="eastAsia"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32"/>
        <w:ind w:firstLine="640"/>
        <w:spacing w:line="360" w:lineRule="auto"/>
        <w:rPr>
          <w:rFonts w:hint="eastAsia" w:ascii="宋体" w:hAnsi="宋体"/>
          <w:sz w:val="32"/>
          <w:szCs w:val="32"/>
        </w:rPr>
      </w:pPr>
      <w:r>
        <w:rPr>
          <w:rFonts w:hint="eastAsia" w:ascii="宋体" w:hAnsi="宋体"/>
          <w:sz w:val="32"/>
          <w:szCs w:val="32"/>
        </w:rPr>
      </w:r>
      <w:r/>
    </w:p>
    <w:p>
      <w:pPr>
        <w:pStyle w:val="732"/>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pStyle w:val="720"/>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8" w:name="_Toc191970199"/>
      <w:r>
        <w:rPr>
          <w:rFonts w:hint="eastAsia" w:asciiTheme="minorEastAsia" w:hAnsiTheme="minorEastAsia" w:eastAsiaTheme="minorEastAsia"/>
          <w:sz w:val="32"/>
        </w:rPr>
        <w:t xml:space="preserve">五、投标产品配置及分项报价表</w:t>
      </w:r>
      <w:bookmarkEnd w:id="68"/>
      <w:r/>
      <w:r/>
    </w:p>
    <w:tbl>
      <w:tblPr>
        <w:tblStyle w:val="72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jc w:val="left"/>
        <w:spacing w:line="360" w:lineRule="auto"/>
        <w:widowControl/>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720"/>
        <w:jc w:val="left"/>
        <w:spacing w:line="360" w:lineRule="auto"/>
        <w:widowControl/>
        <w:rPr>
          <w:rFonts w:hint="eastAsia" w:ascii="宋体" w:hAnsi="宋体" w:cs="Arial"/>
          <w:b/>
          <w:bCs/>
        </w:rPr>
      </w:pPr>
      <w:r>
        <w:rPr>
          <w:rFonts w:hint="eastAsia" w:ascii="宋体" w:hAnsi="宋体"/>
          <w:sz w:val="24"/>
          <w:szCs w:val="24"/>
        </w:rPr>
        <w:t xml:space="preserve">2. “投标分项报价表”中“投标总报价”数额应当与“开标一览表”中“投标总报价”数额一致。</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pStyle w:val="720"/>
        <w:spacing w:line="360" w:lineRule="auto"/>
        <w:rPr>
          <w:rFonts w:asciiTheme="minorEastAsia" w:hAnsiTheme="minorEastAsia" w:eastAsiaTheme="minorEastAsia"/>
          <w:sz w:val="32"/>
        </w:rPr>
      </w:pPr>
      <w:r/>
      <w:bookmarkStart w:id="69" w:name="_Toc191970200"/>
      <w:r>
        <w:rPr>
          <w:rFonts w:hint="eastAsia" w:asciiTheme="minorEastAsia" w:hAnsiTheme="minorEastAsia" w:eastAsiaTheme="minorEastAsia"/>
          <w:sz w:val="32"/>
        </w:rPr>
        <w:t xml:space="preserve">六、技术参数响应及偏离表</w:t>
      </w:r>
      <w:bookmarkEnd w:id="69"/>
      <w:r/>
      <w:r/>
    </w:p>
    <w:tbl>
      <w:tblPr>
        <w:tblStyle w:val="72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20"/>
        <w:spacing w:line="360" w:lineRule="auto"/>
        <w:rPr>
          <w:rFonts w:asciiTheme="minorEastAsia" w:hAnsiTheme="minorEastAsia" w:eastAsiaTheme="minorEastAsia"/>
          <w:sz w:val="32"/>
        </w:rPr>
      </w:pPr>
      <w:r/>
      <w:bookmarkStart w:id="70" w:name="_Hlt26955054"/>
      <w:r/>
      <w:bookmarkEnd w:id="70"/>
      <w:r/>
      <w:bookmarkStart w:id="71" w:name="_Toc191970201"/>
      <w:r>
        <w:rPr>
          <w:rFonts w:hint="eastAsia" w:asciiTheme="minorEastAsia" w:hAnsiTheme="minorEastAsia" w:eastAsiaTheme="minorEastAsia"/>
          <w:sz w:val="32"/>
        </w:rPr>
        <w:t xml:space="preserve">七、商务条款响应及偏离表</w:t>
      </w:r>
      <w:bookmarkEnd w:id="71"/>
      <w:r/>
      <w:r/>
    </w:p>
    <w:tbl>
      <w:tblPr>
        <w:tblStyle w:val="72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hint="eastAsia" w:ascii="仿宋_GB2312" w:hAnsi="宋体" w:eastAsia="仿宋_GB2312"/>
                <w:szCs w:val="21"/>
              </w:rPr>
            </w:pPr>
            <w:r/>
            <w:bookmarkStart w:id="72" w:name="_Hlt26580838"/>
            <w:r/>
            <w:bookmarkEnd w:id="72"/>
            <w:r/>
            <w:bookmarkStart w:id="73" w:name="_Hlt26671343"/>
            <w:r/>
            <w:bookmarkEnd w:id="73"/>
            <w:r/>
            <w:bookmarkStart w:id="74" w:name="_Hlt24879081"/>
            <w:r/>
            <w:bookmarkEnd w:id="74"/>
            <w:r/>
            <w:bookmarkStart w:id="75" w:name="_Hlt26609391"/>
            <w:r/>
            <w:bookmarkEnd w:id="75"/>
            <w:r/>
            <w:bookmarkStart w:id="76" w:name="_Hlt26671372"/>
            <w:r/>
            <w:bookmarkEnd w:id="76"/>
            <w:r/>
            <w:bookmarkStart w:id="77" w:name="_Hlt26955056"/>
            <w:r/>
            <w:bookmarkEnd w:id="77"/>
            <w:r/>
            <w:bookmarkStart w:id="78" w:name="_Hlt26955064"/>
            <w:r/>
            <w:bookmarkEnd w:id="78"/>
            <w:r/>
            <w:bookmarkStart w:id="79" w:name="_Hlt26782999"/>
            <w:r/>
            <w:bookmarkEnd w:id="79"/>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hint="eastAsia"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hint="eastAsia"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hint="eastAsia" w:ascii="仿宋_GB2312" w:hAnsi="宋体" w:eastAsia="仿宋_GB2312"/>
                <w:szCs w:val="21"/>
              </w:rPr>
            </w:pPr>
            <w:r>
              <w:rPr>
                <w:rFonts w:hint="eastAsia" w:ascii="仿宋_GB2312" w:hAnsi="宋体" w:eastAsia="仿宋_GB2312"/>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ascii="仿宋_GB2312" w:hAnsi="Arial"/>
          <w:sz w:val="30"/>
        </w:rPr>
      </w:pPr>
      <w:r>
        <w:rPr>
          <w:rFonts w:ascii="仿宋_GB2312" w:hAnsi="Arial"/>
          <w:sz w:val="30"/>
        </w:rPr>
      </w:r>
      <w:r/>
    </w:p>
    <w:p>
      <w:pPr>
        <w:pStyle w:val="732"/>
        <w:ind w:firstLine="480"/>
        <w:spacing w:line="360" w:lineRule="auto"/>
        <w:rPr>
          <w:rFonts w:hint="eastAsia" w:ascii="宋体" w:hAnsi="宋体"/>
          <w:sz w:val="24"/>
        </w:rPr>
      </w:pPr>
      <w:r/>
      <w:bookmarkStart w:id="80" w:name="_Hlt26955066"/>
      <w:r/>
      <w:bookmarkEnd w:id="80"/>
      <w:r/>
      <w:bookmarkStart w:id="81" w:name="_Hlt26609389"/>
      <w:r/>
      <w:bookmarkEnd w:id="81"/>
      <w:r/>
      <w:bookmarkStart w:id="82" w:name="_Hlt26671374"/>
      <w:r/>
      <w:bookmarkEnd w:id="82"/>
      <w:r/>
      <w:bookmarkStart w:id="83" w:name="_Toc462564146"/>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t xml:space="preserve">.</w:t>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r/>
    </w:p>
    <w:p>
      <w:pPr>
        <w:pStyle w:val="732"/>
        <w:ind w:firstLine="480"/>
        <w:spacing w:line="360" w:lineRule="auto"/>
        <w:rPr>
          <w:rFonts w:hint="eastAsia" w:ascii="宋体" w:hAnsi="宋体"/>
          <w:sz w:val="24"/>
        </w:rPr>
      </w:pPr>
      <w:r>
        <w:rPr>
          <w:rFonts w:hint="eastAsia" w:ascii="宋体" w:hAnsi="宋体"/>
          <w:sz w:val="24"/>
        </w:rPr>
      </w:r>
      <w:bookmarkEnd w:id="83"/>
      <w:r/>
      <w:r/>
    </w:p>
    <w:p>
      <w:pPr>
        <w:jc w:val="center"/>
        <w:spacing w:line="360" w:lineRule="auto"/>
        <w:widowControl/>
        <w:rPr>
          <w:rFonts w:hint="eastAsia" w:ascii="宋体" w:hAnsi="宋体"/>
          <w:b/>
        </w:rPr>
      </w:pPr>
      <w:r/>
      <w:bookmarkStart w:id="84" w:name="_格式2__法定代表人授权书"/>
      <w:r/>
      <w:bookmarkEnd w:id="84"/>
      <w:r>
        <w:rPr>
          <w:rFonts w:hint="eastAsia" w:ascii="宋体" w:hAnsi="宋体"/>
          <w:b/>
        </w:rPr>
        <w:t xml:space="preserve">主要标的信息（中标后将公示）</w:t>
      </w:r>
      <w:r/>
    </w:p>
    <w:p>
      <w:pPr>
        <w:spacing w:line="360" w:lineRule="auto"/>
        <w:rPr>
          <w:rFonts w:hint="eastAsia" w:ascii="宋体" w:hAnsi="宋体"/>
          <w:b/>
        </w:rPr>
      </w:pPr>
      <w:r>
        <w:rPr>
          <w:rFonts w:hint="eastAsia" w:ascii="宋体" w:hAnsi="宋体"/>
        </w:rPr>
        <w:t xml:space="preserve">投标人全称：</w:t>
      </w:r>
      <w:r/>
    </w:p>
    <w:tbl>
      <w:tblPr>
        <w:tblStyle w:val="72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44</w:t>
    </w:r>
    <w:r>
      <w:rPr>
        <w:lang w:val="zh-CN"/>
      </w:rP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both"/>
    </w:pPr>
    <w:r/>
    <w:r/>
  </w:p>
  <w:p>
    <w:pPr>
      <w:pStyle w:val="746"/>
      <w:jc w:val="both"/>
    </w:pPr>
    <w:r>
      <w:rPr>
        <w:rFonts w:hint="eastAsia"/>
      </w:rPr>
      <w:t xml:space="preserve">JSZC-321000-HCZX-G2025-0111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rFonts w:hint="eastAsia"/>
      </w:rPr>
      <w:t xml:space="preserve"> JSZC-321000-HCZX-G2025-0111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4 Char"/>
    <w:basedOn w:val="728"/>
    <w:link w:val="722"/>
    <w:uiPriority w:val="9"/>
    <w:rPr>
      <w:rFonts w:ascii="Arial" w:hAnsi="Arial" w:eastAsia="Arial" w:cs="Arial"/>
      <w:b/>
      <w:bCs/>
      <w:sz w:val="26"/>
      <w:szCs w:val="26"/>
    </w:rPr>
  </w:style>
  <w:style w:type="character" w:styleId="687">
    <w:name w:val="Heading 5 Char"/>
    <w:basedOn w:val="728"/>
    <w:link w:val="723"/>
    <w:uiPriority w:val="9"/>
    <w:rPr>
      <w:rFonts w:ascii="Arial" w:hAnsi="Arial" w:eastAsia="Arial" w:cs="Arial"/>
      <w:b/>
      <w:bCs/>
      <w:sz w:val="24"/>
      <w:szCs w:val="24"/>
    </w:rPr>
  </w:style>
  <w:style w:type="character" w:styleId="688">
    <w:name w:val="Heading 6 Char"/>
    <w:basedOn w:val="728"/>
    <w:link w:val="724"/>
    <w:uiPriority w:val="9"/>
    <w:rPr>
      <w:rFonts w:ascii="Arial" w:hAnsi="Arial" w:eastAsia="Arial" w:cs="Arial"/>
      <w:b/>
      <w:bCs/>
      <w:sz w:val="22"/>
      <w:szCs w:val="22"/>
    </w:rPr>
  </w:style>
  <w:style w:type="character" w:styleId="689">
    <w:name w:val="Heading 7 Char"/>
    <w:basedOn w:val="728"/>
    <w:link w:val="725"/>
    <w:uiPriority w:val="9"/>
    <w:rPr>
      <w:rFonts w:ascii="Arial" w:hAnsi="Arial" w:eastAsia="Arial" w:cs="Arial"/>
      <w:b/>
      <w:bCs/>
      <w:i/>
      <w:iCs/>
      <w:sz w:val="22"/>
      <w:szCs w:val="22"/>
    </w:rPr>
  </w:style>
  <w:style w:type="character" w:styleId="690">
    <w:name w:val="Heading 8 Char"/>
    <w:basedOn w:val="728"/>
    <w:link w:val="726"/>
    <w:uiPriority w:val="9"/>
    <w:rPr>
      <w:rFonts w:ascii="Arial" w:hAnsi="Arial" w:eastAsia="Arial" w:cs="Arial"/>
      <w:i/>
      <w:iCs/>
      <w:sz w:val="22"/>
      <w:szCs w:val="22"/>
    </w:rPr>
  </w:style>
  <w:style w:type="character" w:styleId="691">
    <w:name w:val="Heading 9 Char"/>
    <w:basedOn w:val="728"/>
    <w:link w:val="727"/>
    <w:uiPriority w:val="9"/>
    <w:rPr>
      <w:rFonts w:ascii="Arial" w:hAnsi="Arial" w:eastAsia="Arial" w:cs="Arial"/>
      <w:i/>
      <w:iCs/>
      <w:sz w:val="21"/>
      <w:szCs w:val="21"/>
    </w:rPr>
  </w:style>
  <w:style w:type="character" w:styleId="692">
    <w:name w:val="Title Char"/>
    <w:basedOn w:val="728"/>
    <w:link w:val="756"/>
    <w:uiPriority w:val="10"/>
    <w:rPr>
      <w:sz w:val="48"/>
      <w:szCs w:val="48"/>
    </w:rPr>
  </w:style>
  <w:style w:type="character" w:styleId="693">
    <w:name w:val="Subtitle Char"/>
    <w:basedOn w:val="728"/>
    <w:link w:val="749"/>
    <w:uiPriority w:val="11"/>
    <w:rPr>
      <w:sz w:val="24"/>
      <w:szCs w:val="24"/>
    </w:rPr>
  </w:style>
  <w:style w:type="character" w:styleId="694">
    <w:name w:val="Quote Char"/>
    <w:link w:val="778"/>
    <w:uiPriority w:val="29"/>
    <w:rPr>
      <w:i/>
    </w:rPr>
  </w:style>
  <w:style w:type="character" w:styleId="695">
    <w:name w:val="Intense Quote Char"/>
    <w:link w:val="780"/>
    <w:uiPriority w:val="30"/>
    <w:rPr>
      <w:i/>
    </w:rPr>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50"/>
    <w:uiPriority w:val="99"/>
    <w:rPr>
      <w:sz w:val="18"/>
    </w:rPr>
  </w:style>
  <w:style w:type="character" w:styleId="716">
    <w:name w:val="Endnote Text Char"/>
    <w:link w:val="743"/>
    <w:uiPriority w:val="99"/>
    <w:rPr>
      <w:sz w:val="20"/>
    </w:rPr>
  </w:style>
  <w:style w:type="paragraph" w:styleId="717">
    <w:name w:val="TOC Heading"/>
    <w:uiPriority w:val="39"/>
    <w:unhideWhenUsed/>
  </w:style>
  <w:style w:type="paragraph" w:styleId="71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9">
    <w:name w:val="Heading 1"/>
    <w:basedOn w:val="718"/>
    <w:next w:val="718"/>
    <w:uiPriority w:val="9"/>
    <w:qFormat/>
    <w:pPr>
      <w:keepLines/>
      <w:keepNext/>
      <w:spacing w:before="340" w:after="330" w:line="578" w:lineRule="auto"/>
      <w:outlineLvl w:val="0"/>
    </w:pPr>
    <w:rPr>
      <w:b/>
      <w:bCs/>
      <w:sz w:val="44"/>
      <w:szCs w:val="44"/>
    </w:rPr>
  </w:style>
  <w:style w:type="paragraph" w:styleId="720">
    <w:name w:val="Heading 2"/>
    <w:basedOn w:val="718"/>
    <w:next w:val="7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18"/>
    <w:uiPriority w:val="0"/>
    <w:qFormat/>
    <w:pPr>
      <w:keepLines/>
      <w:keepNext/>
      <w:spacing w:before="260" w:after="260" w:line="416" w:lineRule="auto"/>
      <w:outlineLvl w:val="2"/>
    </w:pPr>
    <w:rPr>
      <w:b/>
      <w:bCs/>
      <w:sz w:val="32"/>
      <w:szCs w:val="32"/>
    </w:rPr>
  </w:style>
  <w:style w:type="paragraph" w:styleId="722">
    <w:name w:val="Heading 4"/>
    <w:basedOn w:val="718"/>
    <w:next w:val="718"/>
    <w:link w:val="769"/>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70"/>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1"/>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772"/>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773"/>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774"/>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table of authorities"/>
    <w:basedOn w:val="718"/>
    <w:next w:val="718"/>
    <w:uiPriority w:val="0"/>
    <w:qFormat/>
    <w:pPr>
      <w:ind w:left="420" w:firstLine="200"/>
      <w:spacing w:line="360" w:lineRule="auto"/>
    </w:pPr>
    <w:rPr>
      <w:rFonts w:ascii="Times New Roman" w:hAnsi="Times New Roman"/>
      <w:sz w:val="24"/>
      <w:szCs w:val="24"/>
    </w:rPr>
  </w:style>
  <w:style w:type="paragraph" w:styleId="732">
    <w:name w:val="Normal Indent"/>
    <w:basedOn w:val="718"/>
    <w:uiPriority w:val="0"/>
    <w:unhideWhenUsed/>
    <w:qFormat/>
    <w:pPr>
      <w:ind w:firstLine="420"/>
    </w:pPr>
  </w:style>
  <w:style w:type="paragraph" w:styleId="733">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4">
    <w:name w:val="Document Map"/>
    <w:basedOn w:val="718"/>
    <w:uiPriority w:val="99"/>
    <w:unhideWhenUsed/>
    <w:qFormat/>
    <w:rPr>
      <w:rFonts w:ascii="Microsoft YaHei UI" w:hAnsi="Times New Roman" w:eastAsia="Microsoft YaHei UI"/>
      <w:sz w:val="18"/>
      <w:szCs w:val="18"/>
    </w:rPr>
  </w:style>
  <w:style w:type="paragraph" w:styleId="735">
    <w:name w:val="annotation text"/>
    <w:basedOn w:val="718"/>
    <w:uiPriority w:val="0"/>
    <w:qFormat/>
    <w:pPr>
      <w:jc w:val="left"/>
    </w:pPr>
  </w:style>
  <w:style w:type="paragraph" w:styleId="736">
    <w:name w:val="Body Text"/>
    <w:basedOn w:val="718"/>
    <w:uiPriority w:val="0"/>
    <w:qFormat/>
    <w:rPr>
      <w:rFonts w:ascii="楷体_GB2312" w:hAnsi="Arial" w:eastAsia="楷体_GB2312"/>
      <w:sz w:val="28"/>
      <w:szCs w:val="28"/>
    </w:rPr>
  </w:style>
  <w:style w:type="paragraph" w:styleId="737">
    <w:name w:val="Body Text Indent"/>
    <w:basedOn w:val="718"/>
    <w:next w:val="718"/>
    <w:uiPriority w:val="99"/>
    <w:qFormat/>
    <w:pPr>
      <w:ind w:left="420"/>
      <w:spacing w:after="120"/>
    </w:pPr>
    <w:rPr>
      <w:sz w:val="20"/>
      <w:szCs w:val="24"/>
    </w:rPr>
  </w:style>
  <w:style w:type="paragraph" w:styleId="738">
    <w:name w:val="List Bullet 2"/>
    <w:basedOn w:val="718"/>
    <w:uiPriority w:val="0"/>
    <w:qFormat/>
    <w:pPr>
      <w:numPr>
        <w:ilvl w:val="0"/>
        <w:numId w:val="1"/>
      </w:numPr>
    </w:pPr>
  </w:style>
  <w:style w:type="paragraph" w:styleId="739">
    <w:name w:val="toc 5"/>
    <w:basedOn w:val="718"/>
    <w:next w:val="718"/>
    <w:uiPriority w:val="39"/>
    <w:unhideWhenUsed/>
    <w:qFormat/>
    <w:pPr>
      <w:ind w:left="1134"/>
      <w:spacing w:after="57"/>
    </w:pPr>
  </w:style>
  <w:style w:type="paragraph" w:styleId="740">
    <w:name w:val="toc 3"/>
    <w:basedOn w:val="718"/>
    <w:next w:val="718"/>
    <w:uiPriority w:val="39"/>
    <w:unhideWhenUsed/>
    <w:qFormat/>
    <w:pPr>
      <w:ind w:left="567"/>
      <w:spacing w:after="57"/>
    </w:pPr>
  </w:style>
  <w:style w:type="paragraph" w:styleId="741">
    <w:name w:val="Plain Text"/>
    <w:basedOn w:val="718"/>
    <w:uiPriority w:val="99"/>
    <w:qFormat/>
    <w:rPr>
      <w:rFonts w:ascii="宋体" w:hAnsi="Courier New"/>
      <w:sz w:val="20"/>
      <w:szCs w:val="21"/>
    </w:rPr>
  </w:style>
  <w:style w:type="paragraph" w:styleId="742">
    <w:name w:val="toc 8"/>
    <w:basedOn w:val="718"/>
    <w:next w:val="718"/>
    <w:uiPriority w:val="39"/>
    <w:unhideWhenUsed/>
    <w:qFormat/>
    <w:pPr>
      <w:ind w:left="1984"/>
      <w:spacing w:after="57"/>
    </w:pPr>
  </w:style>
  <w:style w:type="paragraph" w:styleId="743">
    <w:name w:val="endnote text"/>
    <w:basedOn w:val="718"/>
    <w:link w:val="911"/>
    <w:uiPriority w:val="99"/>
    <w:semiHidden/>
    <w:unhideWhenUsed/>
    <w:qFormat/>
    <w:rPr>
      <w:sz w:val="20"/>
    </w:rPr>
  </w:style>
  <w:style w:type="paragraph" w:styleId="744">
    <w:name w:val="Balloon Text"/>
    <w:basedOn w:val="718"/>
    <w:link w:val="915"/>
    <w:uiPriority w:val="0"/>
    <w:qFormat/>
    <w:rPr>
      <w:sz w:val="18"/>
      <w:szCs w:val="18"/>
    </w:rPr>
  </w:style>
  <w:style w:type="paragraph" w:styleId="745">
    <w:name w:val="Footer"/>
    <w:basedOn w:val="718"/>
    <w:uiPriority w:val="99"/>
    <w:unhideWhenUsed/>
    <w:qFormat/>
    <w:pPr>
      <w:jc w:val="left"/>
      <w:tabs>
        <w:tab w:val="center" w:pos="4153" w:leader="none"/>
        <w:tab w:val="right" w:pos="8306" w:leader="none"/>
      </w:tabs>
    </w:pPr>
    <w:rPr>
      <w:sz w:val="18"/>
      <w:szCs w:val="18"/>
    </w:rPr>
  </w:style>
  <w:style w:type="paragraph" w:styleId="746">
    <w:name w:val="Header"/>
    <w:basedOn w:val="7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8"/>
    <w:next w:val="718"/>
    <w:uiPriority w:val="39"/>
    <w:unhideWhenUsed/>
    <w:qFormat/>
  </w:style>
  <w:style w:type="paragraph" w:styleId="748">
    <w:name w:val="toc 4"/>
    <w:basedOn w:val="718"/>
    <w:next w:val="718"/>
    <w:uiPriority w:val="39"/>
    <w:unhideWhenUsed/>
    <w:qFormat/>
    <w:pPr>
      <w:ind w:left="850"/>
      <w:spacing w:after="57"/>
    </w:pPr>
  </w:style>
  <w:style w:type="paragraph" w:styleId="749">
    <w:name w:val="Subtitle"/>
    <w:basedOn w:val="718"/>
    <w:next w:val="718"/>
    <w:link w:val="777"/>
    <w:uiPriority w:val="11"/>
    <w:qFormat/>
    <w:pPr>
      <w:spacing w:before="200" w:after="200"/>
    </w:pPr>
    <w:rPr>
      <w:sz w:val="24"/>
      <w:szCs w:val="24"/>
    </w:rPr>
  </w:style>
  <w:style w:type="paragraph" w:styleId="750">
    <w:name w:val="footnote text"/>
    <w:basedOn w:val="718"/>
    <w:link w:val="910"/>
    <w:uiPriority w:val="99"/>
    <w:semiHidden/>
    <w:unhideWhenUsed/>
    <w:qFormat/>
    <w:pPr>
      <w:spacing w:after="40"/>
    </w:pPr>
    <w:rPr>
      <w:sz w:val="18"/>
    </w:rPr>
  </w:style>
  <w:style w:type="paragraph" w:styleId="751">
    <w:name w:val="toc 6"/>
    <w:basedOn w:val="718"/>
    <w:next w:val="718"/>
    <w:uiPriority w:val="39"/>
    <w:unhideWhenUsed/>
    <w:qFormat/>
    <w:pPr>
      <w:ind w:left="1417"/>
      <w:spacing w:after="57"/>
    </w:pPr>
  </w:style>
  <w:style w:type="paragraph" w:styleId="752">
    <w:name w:val="table of figures"/>
    <w:basedOn w:val="718"/>
    <w:next w:val="718"/>
    <w:uiPriority w:val="99"/>
    <w:unhideWhenUsed/>
    <w:qFormat/>
  </w:style>
  <w:style w:type="paragraph" w:styleId="753">
    <w:name w:val="toc 2"/>
    <w:basedOn w:val="718"/>
    <w:next w:val="718"/>
    <w:uiPriority w:val="39"/>
    <w:qFormat/>
    <w:pPr>
      <w:ind w:left="420"/>
    </w:pPr>
  </w:style>
  <w:style w:type="paragraph" w:styleId="754">
    <w:name w:val="toc 9"/>
    <w:basedOn w:val="718"/>
    <w:next w:val="718"/>
    <w:uiPriority w:val="39"/>
    <w:unhideWhenUsed/>
    <w:qFormat/>
    <w:pPr>
      <w:ind w:left="2268"/>
      <w:spacing w:after="57"/>
    </w:pPr>
  </w:style>
  <w:style w:type="paragraph" w:styleId="755">
    <w:name w:val="Normal (Web)"/>
    <w:basedOn w:val="718"/>
    <w:uiPriority w:val="0"/>
    <w:qFormat/>
    <w:rPr>
      <w:rFonts w:ascii="Times New Roman" w:hAnsi="Times New Roman"/>
      <w:sz w:val="24"/>
    </w:rPr>
  </w:style>
  <w:style w:type="paragraph" w:styleId="756">
    <w:name w:val="Title"/>
    <w:basedOn w:val="718"/>
    <w:next w:val="718"/>
    <w:link w:val="776"/>
    <w:uiPriority w:val="10"/>
    <w:qFormat/>
    <w:pPr>
      <w:contextualSpacing/>
      <w:spacing w:before="300" w:after="200"/>
    </w:pPr>
    <w:rPr>
      <w:sz w:val="48"/>
      <w:szCs w:val="48"/>
    </w:rPr>
  </w:style>
  <w:style w:type="table" w:styleId="757">
    <w:name w:val="Table Grid"/>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rPr>
  </w:style>
  <w:style w:type="character" w:styleId="759">
    <w:name w:val="endnote reference"/>
    <w:basedOn w:val="728"/>
    <w:uiPriority w:val="99"/>
    <w:semiHidden/>
    <w:unhideWhenUsed/>
    <w:qFormat/>
    <w:rPr>
      <w:vertAlign w:val="superscript"/>
    </w:rPr>
  </w:style>
  <w:style w:type="character" w:styleId="760">
    <w:name w:val="FollowedHyperlink"/>
    <w:basedOn w:val="728"/>
    <w:uiPriority w:val="99"/>
    <w:semiHidden/>
    <w:unhideWhenUsed/>
    <w:qFormat/>
    <w:rPr>
      <w:color w:val="333333"/>
      <w:u w:val="none"/>
    </w:rPr>
  </w:style>
  <w:style w:type="character" w:styleId="761">
    <w:name w:val="Emphasis"/>
    <w:basedOn w:val="728"/>
    <w:uiPriority w:val="20"/>
    <w:qFormat/>
    <w:rPr>
      <w:i/>
    </w:rPr>
  </w:style>
  <w:style w:type="character" w:styleId="762">
    <w:name w:val="Hyperlink"/>
    <w:basedOn w:val="728"/>
    <w:uiPriority w:val="0"/>
    <w:qFormat/>
    <w:rPr>
      <w:color w:val="0563c1" w:themeColor="hyperlink"/>
      <w:u w:val="single"/>
      <w14:textFill>
        <w14:solidFill>
          <w14:schemeClr w14:val="hlink"/>
        </w14:solidFill>
      </w14:textFill>
    </w:rPr>
  </w:style>
  <w:style w:type="character" w:styleId="763">
    <w:name w:val="annotation reference"/>
    <w:basedOn w:val="728"/>
    <w:uiPriority w:val="0"/>
    <w:qFormat/>
    <w:rPr>
      <w:sz w:val="21"/>
      <w:szCs w:val="21"/>
    </w:rPr>
  </w:style>
  <w:style w:type="character" w:styleId="764">
    <w:name w:val="footnote reference"/>
    <w:basedOn w:val="728"/>
    <w:uiPriority w:val="99"/>
    <w:unhideWhenUsed/>
    <w:qFormat/>
    <w:rPr>
      <w:vertAlign w:val="superscript"/>
    </w:rPr>
  </w:style>
  <w:style w:type="paragraph" w:styleId="765" w:customStyle="1">
    <w:name w:val="Default"/>
    <w:next w:val="718"/>
    <w:uiPriority w:val="0"/>
    <w:qFormat/>
    <w:pPr>
      <w:widowControl w:val="off"/>
    </w:pPr>
    <w:rPr>
      <w:rFonts w:ascii="宋体" w:hAnsi="Times New Roman" w:eastAsia="宋体" w:cs="宋体"/>
      <w:color w:val="000000"/>
      <w:sz w:val="24"/>
      <w:szCs w:val="24"/>
      <w:lang w:val="en-US" w:eastAsia="zh-CN" w:bidi="ar-SA"/>
    </w:rPr>
  </w:style>
  <w:style w:type="character" w:styleId="766" w:customStyle="1">
    <w:name w:val="Heading 1 Char"/>
    <w:basedOn w:val="728"/>
    <w:uiPriority w:val="9"/>
    <w:qFormat/>
    <w:rPr>
      <w:rFonts w:ascii="Arial" w:hAnsi="Arial" w:eastAsia="Arial" w:cs="Arial"/>
      <w:sz w:val="40"/>
      <w:szCs w:val="40"/>
    </w:rPr>
  </w:style>
  <w:style w:type="character" w:styleId="767" w:customStyle="1">
    <w:name w:val="Heading 2 Char"/>
    <w:basedOn w:val="728"/>
    <w:uiPriority w:val="9"/>
    <w:qFormat/>
    <w:rPr>
      <w:rFonts w:ascii="Arial" w:hAnsi="Arial" w:eastAsia="Arial" w:cs="Arial"/>
      <w:sz w:val="34"/>
    </w:rPr>
  </w:style>
  <w:style w:type="character" w:styleId="768" w:customStyle="1">
    <w:name w:val="Heading 3 Char"/>
    <w:basedOn w:val="728"/>
    <w:uiPriority w:val="9"/>
    <w:qFormat/>
    <w:rPr>
      <w:rFonts w:ascii="Arial" w:hAnsi="Arial" w:eastAsia="Arial" w:cs="Arial"/>
      <w:sz w:val="30"/>
      <w:szCs w:val="30"/>
    </w:rPr>
  </w:style>
  <w:style w:type="character" w:styleId="769" w:customStyle="1">
    <w:name w:val="标题 4 字符"/>
    <w:basedOn w:val="728"/>
    <w:link w:val="722"/>
    <w:uiPriority w:val="9"/>
    <w:qFormat/>
    <w:rPr>
      <w:rFonts w:ascii="Arial" w:hAnsi="Arial" w:eastAsia="Arial" w:cs="Arial"/>
      <w:b/>
      <w:bCs/>
      <w:sz w:val="26"/>
      <w:szCs w:val="26"/>
    </w:rPr>
  </w:style>
  <w:style w:type="character" w:styleId="770" w:customStyle="1">
    <w:name w:val="标题 5 字符"/>
    <w:basedOn w:val="728"/>
    <w:link w:val="723"/>
    <w:uiPriority w:val="9"/>
    <w:qFormat/>
    <w:rPr>
      <w:rFonts w:ascii="Arial" w:hAnsi="Arial" w:eastAsia="Arial" w:cs="Arial"/>
      <w:b/>
      <w:bCs/>
      <w:sz w:val="24"/>
      <w:szCs w:val="24"/>
    </w:rPr>
  </w:style>
  <w:style w:type="character" w:styleId="771" w:customStyle="1">
    <w:name w:val="标题 6 字符"/>
    <w:basedOn w:val="728"/>
    <w:link w:val="724"/>
    <w:uiPriority w:val="9"/>
    <w:qFormat/>
    <w:rPr>
      <w:rFonts w:ascii="Arial" w:hAnsi="Arial" w:eastAsia="Arial" w:cs="Arial"/>
      <w:b/>
      <w:bCs/>
      <w:sz w:val="22"/>
      <w:szCs w:val="22"/>
    </w:rPr>
  </w:style>
  <w:style w:type="character" w:styleId="772" w:customStyle="1">
    <w:name w:val="标题 7 字符"/>
    <w:basedOn w:val="728"/>
    <w:link w:val="725"/>
    <w:uiPriority w:val="9"/>
    <w:qFormat/>
    <w:rPr>
      <w:rFonts w:ascii="Arial" w:hAnsi="Arial" w:eastAsia="Arial" w:cs="Arial"/>
      <w:b/>
      <w:bCs/>
      <w:i/>
      <w:iCs/>
      <w:sz w:val="22"/>
      <w:szCs w:val="22"/>
    </w:rPr>
  </w:style>
  <w:style w:type="character" w:styleId="773" w:customStyle="1">
    <w:name w:val="标题 8 字符"/>
    <w:basedOn w:val="728"/>
    <w:link w:val="726"/>
    <w:uiPriority w:val="9"/>
    <w:qFormat/>
    <w:rPr>
      <w:rFonts w:ascii="Arial" w:hAnsi="Arial" w:eastAsia="Arial" w:cs="Arial"/>
      <w:i/>
      <w:iCs/>
      <w:sz w:val="22"/>
      <w:szCs w:val="22"/>
    </w:rPr>
  </w:style>
  <w:style w:type="character" w:styleId="774" w:customStyle="1">
    <w:name w:val="标题 9 字符"/>
    <w:basedOn w:val="728"/>
    <w:link w:val="727"/>
    <w:uiPriority w:val="9"/>
    <w:qFormat/>
    <w:rPr>
      <w:rFonts w:ascii="Arial" w:hAnsi="Arial" w:eastAsia="Arial" w:cs="Arial"/>
      <w:i/>
      <w:iCs/>
      <w:sz w:val="21"/>
      <w:szCs w:val="21"/>
    </w:r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basedOn w:val="728"/>
    <w:link w:val="756"/>
    <w:uiPriority w:val="10"/>
    <w:qFormat/>
    <w:rPr>
      <w:sz w:val="48"/>
      <w:szCs w:val="48"/>
    </w:rPr>
  </w:style>
  <w:style w:type="character" w:styleId="777" w:customStyle="1">
    <w:name w:val="副标题 字符"/>
    <w:basedOn w:val="728"/>
    <w:link w:val="749"/>
    <w:uiPriority w:val="11"/>
    <w:qFormat/>
    <w:rPr>
      <w:sz w:val="24"/>
      <w:szCs w:val="24"/>
    </w:rPr>
  </w:style>
  <w:style w:type="paragraph" w:styleId="778">
    <w:name w:val="Quote"/>
    <w:basedOn w:val="718"/>
    <w:next w:val="718"/>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18"/>
    <w:next w:val="718"/>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basedOn w:val="728"/>
    <w:uiPriority w:val="99"/>
    <w:qFormat/>
  </w:style>
  <w:style w:type="character" w:styleId="783" w:customStyle="1">
    <w:name w:val="Footer Char"/>
    <w:basedOn w:val="728"/>
    <w:uiPriority w:val="99"/>
    <w:qFormat/>
  </w:style>
  <w:style w:type="character" w:styleId="784" w:customStyle="1">
    <w:name w:val="Caption Char"/>
    <w:uiPriority w:val="99"/>
    <w:qFormat/>
  </w:style>
  <w:style w:type="table" w:styleId="785"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2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2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2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2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2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2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脚注文本 字符"/>
    <w:link w:val="750"/>
    <w:uiPriority w:val="99"/>
    <w:qFormat/>
    <w:rPr>
      <w:sz w:val="18"/>
    </w:rPr>
  </w:style>
  <w:style w:type="character" w:styleId="911" w:customStyle="1">
    <w:name w:val="尾注文本 字符"/>
    <w:link w:val="743"/>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914" w:customStyle="1">
    <w:name w:val="Char"/>
    <w:basedOn w:val="718"/>
    <w:uiPriority w:val="0"/>
    <w:qFormat/>
    <w:pPr>
      <w:ind w:firstLine="200"/>
      <w:tabs>
        <w:tab w:val="left" w:pos="360" w:leader="none"/>
      </w:tabs>
    </w:pPr>
    <w:rPr>
      <w:rFonts w:ascii="Times New Roman" w:hAnsi="Times New Roman"/>
      <w:sz w:val="28"/>
      <w:szCs w:val="30"/>
    </w:rPr>
  </w:style>
  <w:style w:type="character" w:styleId="915" w:customStyle="1">
    <w:name w:val="批注框文本 字符"/>
    <w:basedOn w:val="728"/>
    <w:link w:val="744"/>
    <w:uiPriority w:val="0"/>
    <w:qFormat/>
    <w:rPr>
      <w:sz w:val="18"/>
      <w:szCs w:val="18"/>
    </w:rPr>
  </w:style>
  <w:style w:type="paragraph" w:styleId="916" w:customStyle="1">
    <w:name w:val="正文1"/>
    <w:basedOn w:val="718"/>
    <w:next w:val="917"/>
    <w:uiPriority w:val="0"/>
    <w:qFormat/>
    <w:pPr>
      <w:jc w:val="left"/>
      <w:spacing w:line="360" w:lineRule="atLeast"/>
    </w:pPr>
    <w:rPr>
      <w:rFonts w:ascii="宋体" w:hAnsiTheme="minorHAnsi" w:eastAsiaTheme="minorEastAsia" w:cstheme="minorBidi"/>
      <w:sz w:val="24"/>
      <w:szCs w:val="20"/>
    </w:rPr>
  </w:style>
  <w:style w:type="paragraph" w:styleId="917" w:customStyle="1">
    <w:name w:val="正文文本1"/>
    <w:basedOn w:val="916"/>
    <w:next w:val="918"/>
    <w:uiPriority w:val="0"/>
    <w:qFormat/>
    <w:pPr>
      <w:spacing w:after="120"/>
    </w:pPr>
    <w:rPr>
      <w:lang w:eastAsia="en-US"/>
    </w:rPr>
  </w:style>
  <w:style w:type="paragraph" w:styleId="918" w:customStyle="1">
    <w:name w:val="一级条标题"/>
    <w:basedOn w:val="919"/>
    <w:next w:val="9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71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0" w:customStyle="1">
    <w:name w:val="段"/>
    <w:basedOn w:val="916"/>
    <w:next w:val="718"/>
    <w:uiPriority w:val="0"/>
    <w:qFormat/>
    <w:pPr>
      <w:ind w:firstLine="200"/>
      <w:widowControl/>
    </w:pPr>
    <w:rPr>
      <w:sz w:val="20"/>
    </w:rPr>
  </w:style>
  <w:style w:type="character" w:styleId="921" w:customStyle="1">
    <w:name w:val="NormalCharacter"/>
    <w:uiPriority w:val="99"/>
    <w:qFormat/>
    <w:rPr>
      <w:rFonts w:ascii="Calibri" w:hAnsi="Calibri" w:eastAsia="宋体" w:cs="Times New Roman"/>
      <w:sz w:val="21"/>
      <w:szCs w:val="22"/>
      <w:lang w:val="en-US" w:eastAsia="zh-CN" w:bidi="ar-SA"/>
    </w:rPr>
  </w:style>
  <w:style w:type="paragraph" w:styleId="922" w:customStyle="1">
    <w:name w:val="p0"/>
    <w:basedOn w:val="718"/>
    <w:uiPriority w:val="0"/>
    <w:qFormat/>
    <w:pPr>
      <w:widowControl/>
    </w:pPr>
    <w:rPr>
      <w:rFonts w:ascii="Times New Roman" w:hAnsi="Times New Roman"/>
      <w:szCs w:val="21"/>
    </w:rPr>
  </w:style>
  <w:style w:type="paragraph" w:styleId="923">
    <w:name w:val="List Paragraph"/>
    <w:basedOn w:val="718"/>
    <w:uiPriority w:val="34"/>
    <w:qFormat/>
    <w:pPr>
      <w:ind w:firstLine="420"/>
    </w:pPr>
  </w:style>
  <w:style w:type="paragraph" w:styleId="924" w:customStyle="1">
    <w:name w:val="Table Paragraph"/>
    <w:basedOn w:val="718"/>
    <w:uiPriority w:val="1"/>
    <w:qFormat/>
    <w:rPr>
      <w:rFonts w:ascii="Noto Sans CJK JP Regular" w:hAnsi="Noto Sans CJK JP Regular" w:eastAsia="Noto Sans CJK JP Regular" w:cs="Noto Sans CJK JP Regular"/>
      <w:lang w:eastAsia="en-US"/>
    </w:rPr>
  </w:style>
  <w:style w:type="paragraph" w:styleId="925" w:customStyle="1">
    <w:name w:val="纯文本1"/>
    <w:basedOn w:val="718"/>
    <w:uiPriority w:val="0"/>
    <w:qFormat/>
    <w:rPr>
      <w:rFonts w:ascii="宋体" w:hAnsi="Courier New" w:eastAsia="楷体_GB2312"/>
      <w:sz w:val="28"/>
      <w:szCs w:val="20"/>
    </w:rPr>
  </w:style>
  <w:style w:type="character" w:styleId="926" w:customStyle="1">
    <w:name w:val="font21"/>
    <w:basedOn w:val="728"/>
    <w:uiPriority w:val="0"/>
    <w:qFormat/>
    <w:rPr>
      <w:rFonts w:hint="eastAsia" w:ascii="宋体" w:hAnsi="宋体" w:eastAsia="宋体" w:cs="宋体"/>
      <w:color w:val="000000"/>
      <w:sz w:val="20"/>
      <w:szCs w:val="20"/>
      <w:u w:val="none"/>
    </w:rPr>
  </w:style>
  <w:style w:type="character" w:styleId="927" w:customStyle="1">
    <w:name w:val="font181"/>
    <w:basedOn w:val="728"/>
    <w:uiPriority w:val="0"/>
    <w:qFormat/>
    <w:rPr>
      <w:rFonts w:hint="eastAsia" w:ascii="宋体" w:hAnsi="宋体" w:eastAsia="宋体" w:cs="宋体"/>
      <w:color w:val="ff0000"/>
      <w:sz w:val="20"/>
      <w:szCs w:val="20"/>
      <w:u w:val="none"/>
    </w:rPr>
  </w:style>
  <w:style w:type="character" w:styleId="928" w:customStyle="1">
    <w:name w:val="font141"/>
    <w:basedOn w:val="728"/>
    <w:uiPriority w:val="0"/>
    <w:qFormat/>
    <w:rPr>
      <w:rFonts w:hint="eastAsia" w:ascii="宋体" w:hAnsi="宋体" w:eastAsia="宋体" w:cs="宋体"/>
      <w:color w:val="000000"/>
      <w:sz w:val="20"/>
      <w:szCs w:val="20"/>
      <w:u w:val="none"/>
    </w:rPr>
  </w:style>
  <w:style w:type="paragraph" w:styleId="929" w:customStyle="1">
    <w:name w:val="纯文本11"/>
    <w:basedOn w:val="718"/>
    <w:uiPriority w:val="99"/>
    <w:qFormat/>
    <w:rPr>
      <w:rFonts w:ascii="宋体" w:hAnsi="Courier New"/>
      <w:sz w:val="20"/>
      <w:szCs w:val="21"/>
    </w:rPr>
  </w:style>
  <w:style w:type="paragraph" w:styleId="930" w:customStyle="1">
    <w:name w:val="正文文本缩进 21"/>
    <w:basedOn w:val="718"/>
    <w:uiPriority w:val="0"/>
    <w:qFormat/>
    <w:pPr>
      <w:ind w:firstLine="562"/>
      <w:spacing w:line="480" w:lineRule="exact"/>
    </w:pPr>
    <w:rPr>
      <w:rFonts w:ascii="楷体_GB2312" w:eastAsia="楷体_GB2312"/>
      <w:b/>
      <w:bCs/>
      <w:sz w:val="28"/>
      <w:szCs w:val="24"/>
    </w:rPr>
  </w:style>
  <w:style w:type="paragraph" w:styleId="931" w:customStyle="1">
    <w:name w:val="标题 21"/>
    <w:basedOn w:val="718"/>
    <w:next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
    <w:basedOn w:val="718"/>
    <w:uiPriority w:val="0"/>
    <w:unhideWhenUsed/>
    <w:qFormat/>
    <w:pPr>
      <w:ind w:firstLine="420"/>
    </w:pPr>
  </w:style>
  <w:style w:type="paragraph" w:styleId="933" w:customStyle="1">
    <w:name w:val="普通(网站)1"/>
    <w:basedOn w:val="718"/>
    <w:uiPriority w:val="0"/>
    <w:qFormat/>
    <w:rPr>
      <w:rFonts w:ascii="Times New Roman" w:hAnsi="Times New Roman"/>
      <w:sz w:val="24"/>
    </w:rPr>
  </w:style>
  <w:style w:type="character" w:styleId="934" w:customStyle="1">
    <w:name w:val="要点1"/>
    <w:uiPriority w:val="0"/>
    <w:qFormat/>
    <w:rPr>
      <w:b/>
    </w:rPr>
  </w:style>
  <w:style w:type="character" w:styleId="935" w:customStyle="1">
    <w:name w:val="hover14"/>
    <w:basedOn w:val="728"/>
    <w:uiPriority w:val="0"/>
    <w:qFormat/>
    <w:rPr>
      <w:color w:val="ffffff"/>
    </w:rPr>
  </w:style>
  <w:style w:type="character" w:styleId="936" w:customStyle="1">
    <w:name w:val="hover15"/>
    <w:basedOn w:val="728"/>
    <w:uiPriority w:val="0"/>
    <w:qFormat/>
    <w:rPr>
      <w:color w:val="ff0000"/>
    </w:rPr>
  </w:style>
  <w:style w:type="character" w:styleId="937" w:customStyle="1">
    <w:name w:val="hover16"/>
    <w:basedOn w:val="728"/>
    <w:uiPriority w:val="0"/>
    <w:qFormat/>
    <w:rPr>
      <w:color w:val="5fb878"/>
    </w:rPr>
  </w:style>
  <w:style w:type="character" w:styleId="938" w:customStyle="1">
    <w:name w:val="hover17"/>
    <w:basedOn w:val="728"/>
    <w:uiPriority w:val="0"/>
    <w:qFormat/>
    <w:rPr>
      <w:color w:val="5fb878"/>
    </w:rPr>
  </w:style>
  <w:style w:type="character" w:styleId="939" w:customStyle="1">
    <w:name w:val="first-child"/>
    <w:basedOn w:val="728"/>
    <w:uiPriority w:val="0"/>
    <w:qFormat/>
  </w:style>
  <w:style w:type="character" w:styleId="940" w:customStyle="1">
    <w:name w:val="layui-this4"/>
    <w:basedOn w:val="728"/>
    <w:uiPriority w:val="0"/>
    <w:qFormat/>
    <w:rPr>
      <w:shd w:val="clear" w:color="auto" w:fill="ffffff"/>
    </w:rPr>
  </w:style>
  <w:style w:type="character" w:styleId="941" w:customStyle="1">
    <w:name w:val="layui-laypage-curr"/>
    <w:basedOn w:val="728"/>
    <w:uiPriority w:val="0"/>
    <w:qFormat/>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秦扬</cp:lastModifiedBy>
  <cp:revision>4</cp:revision>
  <dcterms:created xsi:type="dcterms:W3CDTF">2025-12-23T10:46:00Z</dcterms:created>
  <dcterms:modified xsi:type="dcterms:W3CDTF">2025-12-25T07:36:59Z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B79B36D00C1F4BC18D5EDB136832BEB9</vt:lpwstr>
  </property>
  <property fmtid="{D5CDD505-2E9C-101B-9397-08002B2CF9AE}" pid="4" name="KSOTemplateDocerSaveRecord">
    <vt:lpwstr>eyJoZGlkIjoiMDg4NDljZjM2M2U3NGJkNjEwNDA1YzM2OTlmODJhYjgiLCJ1c2VySWQiOiIxNDU0NzM1NTI4In0=</vt:lpwstr>
  </property>
</Properties>
</file>